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57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2"/>
        <w:gridCol w:w="5425"/>
        <w:gridCol w:w="4888"/>
      </w:tblGrid>
      <w:tr>
        <w:trPr>
          <w:trHeight w:val="283" w:hRule="atLeast"/>
        </w:trPr>
        <w:tc>
          <w:tcPr>
            <w:tcW w:w="426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542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88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разрешения на использование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земельных участков, находящихся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муниципальной собственности»,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Павлово-Посадского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 w:eastAsia="Calibri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spacing w:lineRule="auto" w:line="256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Идентификаторы категорий (признаков) заявителей</w:t>
      </w:r>
    </w:p>
    <w:p>
      <w:pPr>
        <w:pStyle w:val="Normal"/>
        <w:bidi w:val="0"/>
        <w:spacing w:lineRule="auto" w:line="256"/>
        <w:ind w:hanging="0" w:left="0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56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категорий (признаков) заявителей 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в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> </w:t>
      </w:r>
      <w:r>
        <w:rPr>
          <w:rStyle w:val="Style8"/>
          <w:rFonts w:ascii="Times New Roman" w:hAnsi="Times New Roman"/>
          <w:b w:val="false"/>
          <w:bCs w:val="false"/>
          <w:sz w:val="28"/>
          <w:szCs w:val="28"/>
          <w:lang w:val="ru-RU"/>
        </w:rPr>
        <w:t>случае, если целью обращения заявителя является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«Выдача разрешения на использование земельных участков, находящихся в муниципальной собственности»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6532"/>
        <w:gridCol w:w="7318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Результат предоставления Услуги 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если целью обращения заявителя является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«Выдача разрешения на использование земельных участков, находящихся в муниципальной собственности»</w:t>
            </w:r>
          </w:p>
          <w:p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обратившиеся в целях проведения инженерных изысканий либо капитального или текущего ремонта линейного объекта на срок не более 1 (одного) года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обратившиеся в целях проведения инженерных изысканий либо капитального или текущего ремонта линейного объекта на срок не более 1 (одного) года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обратившиеся в целях проведения инженерных изысканий либо капитального или текущего ремонта линейного объекта на срок не более 1 (одного) года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обратившиеся в целях возведения некапитальных строений, сооружений (включая ограждения, бытовки, навесы), складирования строительных и иных материалов, техники для обеспечения строительства, реконструкции линейных объектов федерального, регионального или местного значения на период таких строительства, реконструкции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обратившиеся в целях возведения некапитальных строений, сооружений (включая ограждения, бытовки, навесы), складирования строительных и иных материалов, техники для обеспечения строительства, реконструкции линейных объектов федерального, регионального или местного значения на период таких строительства, реконструкции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А5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обратившиеся в целях возведения некапитальных строений, сооружений (включая ограждения, бытовки, навесы), складирования строительных и иных материалов, техники для обеспечения строительства, реконструкции линейных объектов федерального, регионального или местного значения на период таких строительства, реконструкции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А6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обратившиеся в целях осуществления геологического изучения недр на срок действия соответствующей лицензии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А7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обратившиеся в целях осуществления геологического изучения недр на срок действия соответствующей лицензии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А8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обратившиеся в целях возведения некапитальных строений, сооружений, предназначенных для осуществления товарной аквакультуры (товарного рыбоводства), на срок действия договора пользования рыбоводным участком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А9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обратившиеся в целях возведения некапитальных строений, сооружений, предназначенных для осуществления товарной аквакультуры (товарного рыбоводства), на срок действия договора пользования рыбоводным участком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А10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обратившиеся в целях возведения некапитальных строений, сооружений, предназначенных для осуществления товарной аквакультуры (товарного рыбоводства), на срок действия договора пользования рыбоводным участком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А11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обратившиеся в целях возведения гражданами гаражей, являющихся некапитальными сооружениями, либо для стоянки технических или других средств передвижения инвалидов вблизи их места жительства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А12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физические лица – граждане Российской Федерации, иностранные граждане, лица без гражданства: обратившиеся в целях обеспечения судоходства для возведения на береговой полосе в пределах внутренних водных путей некапитальных строений, сооружений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А13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индивидуальные предприниматели: обратившиеся в целях обеспечения судоходства для возведения на береговой полосе в пределах внутренних водных путей некапитальных строений, сооружений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А14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0" w:right="0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  <w:lang w:val="en-US"/>
              </w:rPr>
              <w:t>юридические лица: обратившиеся в целях обеспечения судоходства для возведения на береговой полосе в пределах внутренних водных путей некапитальных строений, сооружений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0"/>
              <w:jc w:val="center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8"/>
                <w:szCs w:val="28"/>
              </w:rPr>
              <w:t>А15</w:t>
            </w:r>
          </w:p>
        </w:tc>
      </w:tr>
    </w:tbl>
    <w:p>
      <w:pPr>
        <w:pStyle w:val="Normal"/>
        <w:widowControl w:val="false"/>
        <w:bidi w:val="0"/>
        <w:spacing w:lineRule="auto" w:line="256"/>
        <w:ind w:hanging="0" w:left="0" w:right="0"/>
        <w:jc w:val="center"/>
        <w:rPr>
          <w:rFonts w:ascii="Times New Roman" w:hAnsi="Times New Roman"/>
          <w:vanish/>
          <w:sz w:val="28"/>
          <w:szCs w:val="28"/>
        </w:rPr>
      </w:pPr>
      <w:r>
        <w:rPr>
          <w:rFonts w:ascii="Times New Roman" w:hAnsi="Times New Roman"/>
          <w:vanish/>
          <w:sz w:val="28"/>
          <w:szCs w:val="28"/>
        </w:rPr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сновной шрифт абзаца"/>
    <w:qFormat/>
    <w:rPr/>
  </w:style>
  <w:style w:type="character" w:styleId="Style9">
    <w:name w:val="обычный приложения Знак"/>
    <w:basedOn w:val="Style8"/>
    <w:qFormat/>
    <w:rPr>
      <w:rFonts w:ascii="Times New Roman" w:hAnsi="Times New Roman" w:eastAsia="Calibri" w:cs="Times New Roman"/>
      <w:b/>
      <w:sz w:val="24"/>
      <w:szCs w:val="24"/>
    </w:rPr>
  </w:style>
  <w:style w:type="character" w:styleId="2">
    <w:name w:val="АР Прил 2 Знак"/>
    <w:basedOn w:val="Style9"/>
    <w:qFormat/>
    <w:rPr>
      <w:rFonts w:ascii="Times New Roman" w:hAnsi="Times New Roman" w:eastAsia="Calibri" w:cs="Times New Roman"/>
      <w:b/>
      <w:sz w:val="24"/>
      <w:szCs w:val="24"/>
    </w:rPr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6" w:before="0" w:after="160"/>
      <w:jc w:val="left"/>
      <w:textAlignment w:val="auto"/>
    </w:pPr>
    <w:rPr>
      <w:rFonts w:ascii="Calibri" w:hAnsi="Calibri" w:eastAsia="Times New Roman CYR" w:cs="Times New Roman"/>
      <w:color w:val="auto"/>
      <w:kern w:val="2"/>
      <w:sz w:val="22"/>
      <w:szCs w:val="22"/>
      <w:lang w:val="ru-RU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Style10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TableHeading1">
    <w:name w:val="Table Heading1"/>
    <w:basedOn w:val="TableContents"/>
    <w:qFormat/>
    <w:pPr>
      <w:suppressLineNumbers/>
      <w:jc w:val="center"/>
    </w:pPr>
    <w:rPr>
      <w:b/>
      <w:bCs/>
    </w:rPr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7215</TotalTime>
  <Application>LibreOffice/24.2.7.2$Linux_X86_64 LibreOffice_project/420$Build-2</Application>
  <AppVersion>15.0000</AppVersion>
  <Pages>1</Pages>
  <Words>39</Words>
  <Characters>402</Characters>
  <CharactersWithSpaces>427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2025-08-13T20:56:17Z</dcterms:created>
  <dc:creator/>
  <dc:description/>
  <dc:language>en-US</dc:language>
  <cp:lastModifiedBy/>
  <dcterms:modified xsi:type="dcterms:W3CDTF">2025-12-02T11:10:20Z</dcterms:modified>
  <cp:revision>26</cp:revision>
  <dc:subject/>
  <dc:title>20260827-114346.540083.02-12-2025_section_after_table_removed.result</dc:title>
</cp:coreProperties>
</file>