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АЗГЭ-ПП/26-2156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00300060126580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06.05.2026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29.04.2026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76-З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339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Павлово-Посадский, д Грибанино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956,00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50:17:0020101:688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14.11.2025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192 999,19 руб. (Сто девяносто две тысячи девятьсот девяносто девять руб. 19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5 789,97 руб. (Пять тысяч семьсот восемьдесят девять руб. 97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192 999,19 руб. (Сто девяносто две тысячи девятьсот девяносто девять руб. 19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06.05.2026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17.08.2026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18.08.2026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