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FF" w:rsidRDefault="007E56FF" w:rsidP="007E56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E56FF" w:rsidRDefault="007E56FF" w:rsidP="007E56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единой учетной политике</w:t>
      </w:r>
    </w:p>
    <w:p w:rsidR="007E56FF" w:rsidRDefault="007E56FF" w:rsidP="007E56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E56FF" w:rsidRDefault="007E56FF" w:rsidP="007E56F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7E56FF" w:rsidRDefault="007E56FF" w:rsidP="007E56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вопросов, отнесенных законодательством к компетенции комиссии по поступлению и выбытию активов (комиссии по поступлению и выбытию нефинансовых активов)</w:t>
      </w:r>
    </w:p>
    <w:p w:rsidR="007E56FF" w:rsidRDefault="007E56FF" w:rsidP="007E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6240"/>
      </w:tblGrid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Компетенция комиссии</w:t>
            </w:r>
          </w:p>
        </w:tc>
      </w:tr>
      <w:bookmarkStart w:id="0" w:name="_msoanchor_1"/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"_msocom_1"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 «Основные средства»</w:t>
            </w:r>
            <w:bookmarkEnd w:id="0"/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35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«б»</w:t>
            </w:r>
          </w:p>
          <w:p w:rsidR="007E56FF" w:rsidRDefault="007E56FF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 Методических      рекомендаций по применению СГС нематериальные активы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срок полезного использования основных средств в целях начисления по нему амортизации в случаях отсутствия информации в законодательстве и документах производителя.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 «Основные средства», п. 40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стоимость структурных частей основного средства, по которым учреждение будет начислять амортизацию обособленно ввиду отличающегося срока полезного использования этих частей</w:t>
            </w:r>
          </w:p>
        </w:tc>
      </w:tr>
      <w:bookmarkStart w:id="1" w:name="_msoanchor_2"/>
      <w:tr w:rsidR="007E56FF" w:rsidTr="007E56FF">
        <w:trPr>
          <w:tblCellSpacing w:w="0" w:type="dxa"/>
        </w:trPr>
        <w:tc>
          <w:tcPr>
            <w:tcW w:w="3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"_msocom_2"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по СГС «Основные средства»</w:t>
            </w:r>
            <w:bookmarkEnd w:id="1"/>
            <w:r>
              <w:fldChar w:fldCharType="end"/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Принимает решения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реклассификации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основных средств в иную группу основных средств или в иную категорию объектов бухгалтерского учета (например, в материальные запасы) в случае изменения статуса или целевой функции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решения о том, что актив не соответствует установленным критериям актива,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целесообразности (пригодности) дальнейшего использования основных средств и нематериальных активов, возможности и эффективности их восстановления</w:t>
            </w:r>
          </w:p>
        </w:tc>
      </w:tr>
      <w:bookmarkStart w:id="2" w:name="_msoanchor_4"/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"_msocom_4"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 «Запасы»</w:t>
            </w:r>
            <w:bookmarkEnd w:id="2"/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10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сроки полезного использования материальных запасов, используемых в деятельности субъекта учета в течение периода, превышающего 12 месяцев</w:t>
            </w:r>
          </w:p>
        </w:tc>
      </w:tr>
      <w:bookmarkStart w:id="3" w:name="_msoanchor_5"/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"_msocom_5"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</w:t>
            </w:r>
            <w:bookmarkEnd w:id="3"/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н, п. 25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справедливую стоимость объектов нефинансовых активов, полученных учреждением по необменным операциям (безвозмездно, в том числе по договору дарения)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к учету объекты основных средств, нематериальных, непроизведенных активов, материальных запасов, в отношении которых установлен срок эксплуатации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решения о выбытии основных средств, нематериальных, непроизведенных активов, материальных запасов, в отношении которых установлен срок эксплуатации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46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член комиссии присутствует при нанесении инвентарных номеров на основные средства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51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выбытии инвентарных объектов основных средств, в том числе объектов движимого имущества стоимостью до 10 000 руб. включительно, учитываемых на забалансовом учете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60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срок полезного использования нематериальных активов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Инструкция № 157н, п. 61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определяет продолжительность периода, в течение которого предполагается использовать нематериальный актив, и в случаях его существенного изменения уточняет срок его полезного использования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63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поступлении, внутреннем перемещении, выбытии (в том числе по основанию принятия решения о списании) объектов нематериальных активов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 «Обесценение активов»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Принимает решение об изменении первоначальной (фактической) стоимости нефинансовых активов Учреждения и сроков их полезного использования, обесценение основных средств и нематериальных активов</w:t>
            </w:r>
          </w:p>
        </w:tc>
      </w:tr>
      <w:bookmarkStart w:id="4" w:name="_msoanchor_6"/>
      <w:tr w:rsidR="007E56FF" w:rsidTr="007E56FF">
        <w:trPr>
          <w:tblCellSpacing w:w="0" w:type="dxa"/>
        </w:trPr>
        <w:tc>
          <w:tcPr>
            <w:tcW w:w="3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"_msocom_6"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указания № 52н</w:t>
            </w:r>
            <w:bookmarkEnd w:id="4"/>
            <w:r>
              <w:fldChar w:fldCharType="end"/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заключение в Акте о приеме-передаче объектов нефинансовых активов (ф. 0504101)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осмотр отремонтированных, реконструированных, модернизированных объектов основных средств и пишет заключение в Акте приема-сдачи отремонтированных, реконструированных и модернизированных объектов основных средств (ф. 0504103)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заключение в Акте о списании объектов нефинансовых активов (кроме транспортных средств) (ф. 0504104)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заключение в Акте о списании транспортного средства (ф. 0504105)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  состояния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пришедшего  в  негодность  мягкого  и хозяйственного инвентаря и заполняет заключение в Акте о списании мягкого и хозяйственного инвентаря (ф. 0504143)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проверку  состояния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документов и заполняет заключение в Акте о списании исключенных объектов библиотечного фонда (ф. 0504144)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осмотр прибывшего груза и заполняет заключение в Акте приемки материалов (ф. 0504220)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 проверку выданных со склада в подразделения материальных запасов и заполняет заключение в Акте о списании материальных запасов (ф. 0504230)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Пишет заключение в Акте о списании бланков строгой отчетности (ф. 0504816)</w:t>
            </w:r>
          </w:p>
        </w:tc>
      </w:tr>
      <w:tr w:rsidR="007E56FF" w:rsidTr="007E56F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56FF" w:rsidRDefault="007E56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контроль правильного ведения Книги регистрации боя посуды (ф. 0504044)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339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списании с баланса дебиторской задолженности неплатежеспособных дебиторов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339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признании безнадежной дебиторской задолженности, отраженной на забалансовом учете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371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списании с забалансового счета задолженности учреждения, не востребованной кредиторами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№ 157н, п. 377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списании периодических изданий, приобретенных для комплектования библиотечного фонда</w:t>
            </w:r>
          </w:p>
        </w:tc>
      </w:tr>
      <w:bookmarkStart w:id="5" w:name="_msoanchor_3"/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lastRenderedPageBreak/>
              <w:fldChar w:fldCharType="begin"/>
            </w:r>
            <w:r>
              <w:instrText xml:space="preserve"> HYPERLINK "https://bino.ru/blog/praktika-ucheta/komissiya-po-aktivam-dlya-chego-ona-nuzhna-kak-ee-sozdavat-kak-ona-dolzhna-dejstvovat.html" \l "_msocom_3" </w:instrText>
            </w:r>
            <w: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СГС «Доходы»</w:t>
            </w:r>
            <w:bookmarkEnd w:id="5"/>
            <w: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п. 11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решения о прекращении признания (выбытия) с балансового (забалансового) учета сомнительной задолженности по доходам – при наличии документов, подтверждающих неопределенность относительно получения экономических выгод или полезного потенциала</w:t>
            </w: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об отнесение объектов имущества к особо ценному движимому имуществу; </w:t>
            </w:r>
          </w:p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E56FF" w:rsidTr="007E56FF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E56FF" w:rsidRDefault="007E5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56FF" w:rsidRDefault="007E56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Подготавливает заключение об использовании объектов имущества, учитываемых в рамках вида финансового обеспечения 2 «Приносящая доход деятельность», 5 «Субсидия на иные цели» в деятельности по выполнению государственного (муниципального) задания с целью их закрепления за учреждением и перевода на учет по виду финансового обеспечения 4 «Субсидии на выполнение государственного (муниципального) задания»</w:t>
            </w:r>
          </w:p>
        </w:tc>
      </w:tr>
    </w:tbl>
    <w:p w:rsidR="007E56FF" w:rsidRDefault="007E56FF" w:rsidP="007E5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достройки, реконструкции, дооборудования, модернизации основных средств комиссией может быть принято решение об увеличении срока полезного использования соответствующих объектов (п. 44 Инструкции № 157н, единая учетная политика органов исполнительной государственной власти и государственных учреждений области). Решение об увеличении срока полезного использования основных средств принимается на основании заключения комиссии, согласно которому в результате произведенных работ изменились первоначально принятые нормативные показатели функционирования объекта</w:t>
      </w:r>
    </w:p>
    <w:p w:rsidR="007E56FF" w:rsidRDefault="007E56FF" w:rsidP="007E5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6FF" w:rsidRDefault="007E56FF" w:rsidP="007E5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достройки, реконструкции, дооборудования, модернизации нефинансовых активов (основных средств, нематериальных активов, материальных запасов) комиссией принимается решение об увеличении их первоначальной (фактической) стоимости (п. 19 стандарта «Основные средства»,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27, 69, 120 Инструкции № 157н; соответствующие положения единой учетной политики органов исполнительной государственной власти и государственных учреждений области). </w:t>
      </w:r>
    </w:p>
    <w:p w:rsidR="007E56FF" w:rsidRDefault="007E56FF" w:rsidP="007E5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6FF" w:rsidRDefault="007E56FF" w:rsidP="007E5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частичной ликвидации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объекта нефинансовых активов комиссия принимает решение о расчете стоимости ликвидируемой (разукомплектованной) части объекта в соответствии с положениями единой учетной политики органов исполнительной государственной власти и государственных учреждений области. </w:t>
      </w:r>
    </w:p>
    <w:p w:rsidR="007E56FF" w:rsidRDefault="007E56FF">
      <w:bookmarkStart w:id="6" w:name="_GoBack"/>
      <w:bookmarkEnd w:id="6"/>
    </w:p>
    <w:sectPr w:rsidR="007E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FF"/>
    <w:rsid w:val="007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0BAF7-9618-4B11-A09B-5ABC31D2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F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6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2024-12-23T11:59:00Z</dcterms:created>
  <dcterms:modified xsi:type="dcterms:W3CDTF">2024-12-23T12:00:00Z</dcterms:modified>
</cp:coreProperties>
</file>