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07D9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14:paraId="0010E747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14:paraId="2385414C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Павловский Посад</w:t>
      </w:r>
    </w:p>
    <w:p w14:paraId="4A26C46C" w14:textId="77777777" w:rsidR="006B721B" w:rsidRDefault="006B721B" w:rsidP="006B721B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Московской области </w:t>
      </w:r>
    </w:p>
    <w:p w14:paraId="4C7C93BB" w14:textId="169A5357" w:rsidR="003465BD" w:rsidRPr="00D66394" w:rsidRDefault="006B721B" w:rsidP="006B72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B0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11.07.2022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B0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1159</w:t>
      </w:r>
      <w:bookmarkStart w:id="0" w:name="_GoBack"/>
      <w:bookmarkEnd w:id="0"/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6A3584F6" w:rsidR="00206CEA" w:rsidRPr="008D6854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F91A09"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</w:p>
    <w:p w14:paraId="13F91349" w14:textId="19E5D735" w:rsidR="002D5CAC" w:rsidRPr="008D6854" w:rsidRDefault="00206CEA" w:rsidP="002D5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по </w:t>
      </w:r>
      <w:r w:rsidR="002D5CAC" w:rsidRPr="008D6854">
        <w:rPr>
          <w:rFonts w:ascii="Times New Roman" w:hAnsi="Times New Roman" w:cs="Times New Roman"/>
          <w:b/>
          <w:sz w:val="24"/>
          <w:szCs w:val="24"/>
        </w:rPr>
        <w:t>созданию</w:t>
      </w:r>
      <w:r w:rsidR="002D5CAC" w:rsidRPr="008D6854">
        <w:rPr>
          <w:rFonts w:ascii="Times New Roman" w:hAnsi="Times New Roman" w:cs="Times New Roman"/>
          <w:b/>
          <w:sz w:val="24"/>
          <w:szCs w:val="24"/>
        </w:rPr>
        <w:br/>
        <w:t xml:space="preserve"> семейного (родового) захоронения</w:t>
      </w:r>
      <w:r w:rsidR="008D6854" w:rsidRPr="008D6854">
        <w:rPr>
          <w:rFonts w:ascii="Times New Roman" w:hAnsi="Times New Roman" w:cs="Times New Roman"/>
          <w:b/>
          <w:sz w:val="24"/>
          <w:szCs w:val="24"/>
        </w:rPr>
        <w:t xml:space="preserve"> на кладбищах городского округа Павловский Посад Московской области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04F71960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04A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8A4A45F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2133EF78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3F3D4922" w:rsidR="00B44818" w:rsidRPr="00B44818" w:rsidRDefault="00C81AA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04A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488E700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45F03191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68545521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2DB167B2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07E2DCF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44DDDC51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2C423143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34096C28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3F563F">
              <w:rPr>
                <w:webHidden/>
                <w:sz w:val="22"/>
                <w:szCs w:val="22"/>
              </w:rPr>
              <w:t>10</w:t>
            </w:r>
          </w:hyperlink>
        </w:p>
        <w:p w14:paraId="2CF0B3B7" w14:textId="6EFEB5D2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B5332">
              <w:rPr>
                <w:webHidden/>
                <w:sz w:val="22"/>
                <w:szCs w:val="22"/>
              </w:rPr>
              <w:t>11</w:t>
            </w:r>
          </w:hyperlink>
        </w:p>
        <w:p w14:paraId="292B46BA" w14:textId="03317C9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5A6DA0F5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2750D9AD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2D1D19F5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661B5E4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0BB51D49" w:rsidR="00B44818" w:rsidRPr="00B44818" w:rsidRDefault="00C81AA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04A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D5EDDE9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5714C81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516E8BA5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4C697BB3" w:rsidR="00B44818" w:rsidRPr="00B44818" w:rsidRDefault="00C81AA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04A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0063FDF4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 xml:space="preserve">20. Порядок осуществления текущего контроля за соблюдением  и исполнением ответственными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lastRenderedPageBreak/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2E93527F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17709EF5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 xml:space="preserve">22. Ответственность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3809B3">
              <w:rPr>
                <w:webHidden/>
                <w:sz w:val="22"/>
                <w:szCs w:val="22"/>
              </w:rPr>
              <w:t>19</w:t>
            </w:r>
          </w:hyperlink>
        </w:p>
        <w:p w14:paraId="6ACE26F8" w14:textId="33171E6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4B206696" w:rsidR="00B44818" w:rsidRPr="00B44818" w:rsidRDefault="00C81AA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V. Досудебный (внесудебный) порядок обжалования  решений и действий (бездействия) МКУ,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04A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38615A53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7F170590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18C0297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7CCF30CF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450683FE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4B5C0D79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6051C184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AB2CB3C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AAC237B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70DB8A71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09C0C9AF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316062B3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664EEE05" w:rsidR="00B44818" w:rsidRPr="00B44818" w:rsidRDefault="00C81AA8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B904A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26CA21" w14:textId="77777777" w:rsidR="00331328" w:rsidRPr="005F3AC7" w:rsidRDefault="00206CEA" w:rsidP="0033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331328" w:rsidRPr="005F3AC7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331328">
        <w:rPr>
          <w:rFonts w:ascii="Times New Roman" w:hAnsi="Times New Roman" w:cs="Times New Roman"/>
          <w:sz w:val="28"/>
          <w:szCs w:val="28"/>
        </w:rPr>
        <w:t xml:space="preserve"> городского округа Павловский Посад Московской области «Центр экономического развития, потребительского рынка и ритуальных услуг»</w:t>
      </w:r>
      <w:r w:rsidR="00331328" w:rsidRPr="005F3AC7">
        <w:rPr>
          <w:rFonts w:ascii="Times New Roman" w:hAnsi="Times New Roman" w:cs="Times New Roman"/>
          <w:sz w:val="28"/>
          <w:szCs w:val="28"/>
        </w:rPr>
        <w:t xml:space="preserve">, созданным </w:t>
      </w:r>
      <w:r w:rsidR="00331328">
        <w:rPr>
          <w:rFonts w:ascii="Times New Roman" w:hAnsi="Times New Roman" w:cs="Times New Roman"/>
          <w:sz w:val="28"/>
          <w:szCs w:val="28"/>
        </w:rPr>
        <w:t>Администрацией городского округа Павловский Посад</w:t>
      </w:r>
      <w:r w:rsidR="00331328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31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331328" w:rsidRPr="005F3AC7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04DAE5D" w:rsidR="00206CEA" w:rsidRPr="00206CEA" w:rsidRDefault="00206CEA" w:rsidP="00CF3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за исполнением административного регламента, досудебный (внесудебный) порядок обжалования решений и действий (бездействия) </w:t>
      </w:r>
      <w:r w:rsidR="00CF3750" w:rsidRPr="00052F79">
        <w:rPr>
          <w:rFonts w:ascii="Times New Roman" w:hAnsi="Times New Roman" w:cs="Times New Roman"/>
          <w:sz w:val="28"/>
          <w:szCs w:val="28"/>
        </w:rPr>
        <w:t>МКУ (должностных лиц, работников), МФЦ (работников).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0CDEC47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79EE24C6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03BBD" w14:textId="4F0E78AC" w:rsidR="00331328" w:rsidRPr="005F3AC7" w:rsidRDefault="00331328" w:rsidP="00331328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Павловский Посад Московской области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08744" w14:textId="77777777" w:rsidR="00331328" w:rsidRDefault="00331328" w:rsidP="00331328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является </w:t>
      </w:r>
      <w:bookmarkStart w:id="7" w:name="_Hlk1068758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городского округа Павловский Посад Московской области «Центр экономического развития, потребительского рынка и ритуальных услуг», действующая на основании постановления Администрации городского округа Павловский Посад Московской области от 30.03.2022 №479 «</w:t>
      </w:r>
      <w:r w:rsidRPr="00C2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в сфере погребения и похоронного дела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7"/>
    <w:p w14:paraId="7B023216" w14:textId="77777777" w:rsidR="00331328" w:rsidRDefault="00331328" w:rsidP="00331328">
      <w:pPr>
        <w:pStyle w:val="Standard"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городского округа Павловский Посад Московской области «Центр экономического развития, потребительского рынка и ритуальных услуг», действующая на основании постановления Администрации городского округа Павловский Посад Московской области от 30.03.2022 №479 «</w:t>
      </w:r>
      <w:r w:rsidRPr="00C22E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в сфере погребения и похоронного дела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A843BE" w14:textId="2EF748DF" w:rsidR="00BC7BC3" w:rsidRPr="00D66394" w:rsidRDefault="00BC7BC3" w:rsidP="00CF3750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8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5FC53B06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2C76474C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5099FA96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3E2F2D60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477B6EE7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="0005570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655A6510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57E40C26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C4004A4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МКУ, а также должностных лиц, работников МКУ размещены на официальном сайте Администрации</w:t>
      </w:r>
      <w:r w:rsidR="00820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pavpos</w:t>
      </w:r>
      <w:r w:rsidR="008204A0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="008204A0" w:rsidRPr="00D70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4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7EFEDDD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52D6FE43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3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76DD6FD3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2817DE73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Административному регламенту, подписывается ЭЦП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2657FF25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непосредственно в 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18E3E85D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"/>
      <w:bookmarkEnd w:id="15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055FB1B5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43312C4B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507D1449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6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69800298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67ED37DB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</w:t>
      </w:r>
      <w:r w:rsidR="005D01D0">
        <w:rPr>
          <w:rFonts w:ascii="Times New Roman" w:hAnsi="Times New Roman" w:cs="Times New Roman"/>
          <w:sz w:val="28"/>
          <w:szCs w:val="28"/>
        </w:rPr>
        <w:t>городского округа Павловский Посад</w:t>
      </w:r>
      <w:r w:rsidR="0061306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Bookmark5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1284B8E8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8DEABF4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</w:t>
      </w:r>
      <w:r w:rsidR="005D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7B05AF26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6EDB1D49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66FF70E1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709A4F36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9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7DE403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20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2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2275FB60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29270B0A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3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3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4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9DF3A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0744F330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6CB90BA9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1201C533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6ABC482D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5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5429D07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32E870B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AFFA4D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7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16D79499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8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ECAB73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действия (бездействие)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D9D069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AD3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C13C619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3DA379BC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9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5EEF2DF4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14:paraId="793FE987" w14:textId="4AE111D1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66DDD612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7"/>
      <w:r w:rsidRPr="00D66394">
        <w:rPr>
          <w:rFonts w:ascii="Times New Roman" w:hAnsi="Times New Roman" w:cs="Times New Roman"/>
          <w:sz w:val="28"/>
          <w:szCs w:val="28"/>
        </w:rPr>
        <w:t xml:space="preserve">22. Ответственность </w:t>
      </w:r>
      <w:r w:rsidR="0010305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30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676A5FA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205997C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2820E3E5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394EC" w14:textId="77777777" w:rsidR="00E27EA9" w:rsidRDefault="00E27EA9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1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1D6369E4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E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09E2191A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41E9B766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DA80C" w14:textId="04341DBF" w:rsidR="00E27EA9" w:rsidRDefault="00E27EA9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D74A" w14:textId="77777777" w:rsidR="00795979" w:rsidRDefault="00795979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331693E2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2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2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3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3B3C1B10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4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33384362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48AA3A51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Администрацией</w:t>
      </w:r>
      <w:r w:rsidR="00390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164C9338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йта Администрации</w:t>
      </w:r>
      <w:r w:rsidR="00390C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5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6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6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7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7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8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9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40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и действия (бездействие) исполнительных органов государственной власти Московской области, </w:t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05B5B190" w14:textId="77777777" w:rsidR="00390C79" w:rsidRPr="005F3AC7" w:rsidRDefault="00221133" w:rsidP="00390C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390C79" w:rsidRPr="005F3AC7">
        <w:rPr>
          <w:rFonts w:ascii="Times New Roman" w:hAnsi="Times New Roman" w:cs="Times New Roman"/>
        </w:rPr>
        <w:t xml:space="preserve">Устав </w:t>
      </w:r>
      <w:r w:rsidR="00390C79">
        <w:rPr>
          <w:rFonts w:ascii="Times New Roman" w:hAnsi="Times New Roman" w:cs="Times New Roman"/>
        </w:rPr>
        <w:t>городского округа Павловский Посад</w:t>
      </w:r>
      <w:r w:rsidR="00390C79" w:rsidRPr="005F3AC7">
        <w:rPr>
          <w:rFonts w:ascii="Times New Roman" w:hAnsi="Times New Roman" w:cs="Times New Roman"/>
        </w:rPr>
        <w:t xml:space="preserve"> Московской области</w:t>
      </w:r>
      <w:r w:rsidR="00390C79">
        <w:rPr>
          <w:rFonts w:ascii="Times New Roman" w:hAnsi="Times New Roman" w:cs="Times New Roman"/>
        </w:rPr>
        <w:t>,</w:t>
      </w:r>
      <w:r w:rsidR="00390C79" w:rsidRPr="005F3AC7">
        <w:rPr>
          <w:rFonts w:ascii="Times New Roman" w:hAnsi="Times New Roman" w:cs="Times New Roman"/>
        </w:rPr>
        <w:t xml:space="preserve"> </w:t>
      </w:r>
      <w:r w:rsidR="00390C79">
        <w:rPr>
          <w:rFonts w:ascii="Times New Roman" w:hAnsi="Times New Roman" w:cs="Times New Roman"/>
        </w:rPr>
        <w:t>принятый Решением Совета депутатов городского округа Павловский Посад Московской области от 08.06.2017 №50/5.</w:t>
      </w:r>
    </w:p>
    <w:p w14:paraId="096AB67F" w14:textId="52D30D65" w:rsidR="00221133" w:rsidRPr="00664019" w:rsidRDefault="00221133" w:rsidP="00390C79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1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1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2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42E8C7E4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60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D79" w14:textId="77777777" w:rsidR="00E24CC3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D900FF" w14:textId="5FE895B5" w:rsidR="00321237" w:rsidRPr="0087024C" w:rsidRDefault="00321237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3" w:name="_Toc100569539"/>
      <w:bookmarkStart w:id="44" w:name="_Toc437973309"/>
      <w:bookmarkStart w:id="45" w:name="_Toc438110051"/>
      <w:bookmarkStart w:id="46" w:name="_Toc438376263"/>
      <w:bookmarkStart w:id="47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3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4"/>
    <w:bookmarkEnd w:id="45"/>
    <w:bookmarkEnd w:id="46"/>
    <w:bookmarkEnd w:id="47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8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9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50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1" w:name="_Toc441496582"/>
      <w:bookmarkStart w:id="52" w:name="_Toc438110054"/>
      <w:bookmarkStart w:id="53" w:name="_Toc437973312"/>
      <w:bookmarkStart w:id="54" w:name="_Toc438376266"/>
      <w:r w:rsidRPr="0026203D">
        <w:rPr>
          <w:rFonts w:ascii="Times New Roman" w:hAnsi="Times New Roman" w:cs="Times New Roman"/>
        </w:rPr>
        <w:t xml:space="preserve">I. </w:t>
      </w:r>
      <w:bookmarkEnd w:id="51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2126"/>
        <w:gridCol w:w="2835"/>
        <w:gridCol w:w="3260"/>
        <w:gridCol w:w="3609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2"/>
          <w:bookmarkEnd w:id="53"/>
          <w:bookmarkEnd w:id="54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32D41BB6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382024F1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</w:t>
            </w:r>
            <w:r w:rsidR="00321237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t>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4435FF40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 xml:space="preserve">лично,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3DFB15F3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РПГУ/ РГИС/МКУ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6485D7A1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</w:t>
            </w:r>
            <w:r w:rsidR="00321237">
              <w:rPr>
                <w:sz w:val="22"/>
                <w:szCs w:val="22"/>
              </w:rPr>
              <w:t xml:space="preserve"> </w:t>
            </w:r>
            <w:r w:rsidRPr="002B2451">
              <w:rPr>
                <w:sz w:val="22"/>
                <w:szCs w:val="22"/>
              </w:rPr>
              <w:t>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7DAE18D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55DBC0C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>должностное лицо</w:t>
            </w:r>
            <w:r w:rsidR="00321237">
              <w:rPr>
                <w:rFonts w:eastAsiaTheme="minorHAnsi"/>
                <w:sz w:val="22"/>
                <w:szCs w:val="22"/>
              </w:rPr>
              <w:t>,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6A7EDFA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пункта 10.2 Административного регламента,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20567883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>уполномоченного должностного лица 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12B88F4F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МКУ, и выдаются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 xml:space="preserve">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4D5E7382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>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lastRenderedPageBreak/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10BEDBD5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0504223F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0AA27048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2426557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14C53366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направление заявителю (представителю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6C5185A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0E80467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47FD92AD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</w:t>
            </w:r>
            <w:r w:rsidR="00EE414A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65F0CAD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61A28BB2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МКУ </w:t>
            </w:r>
            <w:r w:rsidRPr="00975B3D">
              <w:rPr>
                <w:rFonts w:eastAsia="Times New Roman"/>
                <w:sz w:val="22"/>
                <w:szCs w:val="22"/>
              </w:rPr>
              <w:lastRenderedPageBreak/>
              <w:t xml:space="preserve">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36BA5F3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должностному лицу, 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7AF1F2E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B45531">
              <w:rPr>
                <w:sz w:val="22"/>
                <w:szCs w:val="22"/>
              </w:rPr>
              <w:lastRenderedPageBreak/>
              <w:t>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1EC564A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EE414A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5E542D3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</w:t>
            </w:r>
            <w:r w:rsidR="00EE414A">
              <w:rPr>
                <w:rFonts w:eastAsia="Times New Roman"/>
                <w:sz w:val="22"/>
                <w:szCs w:val="22"/>
              </w:rPr>
              <w:t xml:space="preserve">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4D282563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 xml:space="preserve">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0D413B5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1A8F4E2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06B51E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1DA440E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заверенного подписью должностного лица, работника МКУ.</w:t>
            </w:r>
          </w:p>
          <w:p w14:paraId="5514E5EE" w14:textId="415B5C4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68F0C32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3B8229B4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семейном (родовом) 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325C7A27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707941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="00063823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6D1426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но не позднее 1 рабочего дня, следующего за днем принятия решения, </w:t>
            </w:r>
            <w:r w:rsidR="001576B2" w:rsidRPr="00B45531">
              <w:rPr>
                <w:rFonts w:eastAsia="Times New Roman"/>
                <w:sz w:val="22"/>
                <w:szCs w:val="22"/>
              </w:rPr>
              <w:t>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7D12CB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="003D354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>в Личный кабинет на 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69A3117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6C3EE1A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063E991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DF23" w14:textId="77777777" w:rsidR="00C81AA8" w:rsidRDefault="00C81AA8" w:rsidP="00F40970">
      <w:pPr>
        <w:spacing w:after="0" w:line="240" w:lineRule="auto"/>
      </w:pPr>
      <w:r>
        <w:separator/>
      </w:r>
    </w:p>
  </w:endnote>
  <w:endnote w:type="continuationSeparator" w:id="0">
    <w:p w14:paraId="1839F5C4" w14:textId="77777777" w:rsidR="00C81AA8" w:rsidRDefault="00C81AA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B714" w14:textId="77777777" w:rsidR="00CF3750" w:rsidRPr="00804067" w:rsidRDefault="00CF3750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CF3750" w:rsidRPr="00FF3AC8" w:rsidRDefault="00CF3750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1490" w14:textId="77777777" w:rsidR="00C81AA8" w:rsidRDefault="00C81AA8" w:rsidP="00F40970">
      <w:pPr>
        <w:spacing w:after="0" w:line="240" w:lineRule="auto"/>
      </w:pPr>
      <w:r>
        <w:separator/>
      </w:r>
    </w:p>
  </w:footnote>
  <w:footnote w:type="continuationSeparator" w:id="0">
    <w:p w14:paraId="74D7605D" w14:textId="77777777" w:rsidR="00C81AA8" w:rsidRDefault="00C81AA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CF3750" w:rsidRDefault="00CF375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CF3750" w:rsidRPr="000B75C0" w:rsidRDefault="00C81AA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70A"/>
    <w:rsid w:val="00055851"/>
    <w:rsid w:val="00057E9D"/>
    <w:rsid w:val="00060B70"/>
    <w:rsid w:val="00061550"/>
    <w:rsid w:val="00062AEB"/>
    <w:rsid w:val="00063823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1B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0F91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1A09"/>
    <w:rsid w:val="002F6615"/>
    <w:rsid w:val="002F7261"/>
    <w:rsid w:val="00302E56"/>
    <w:rsid w:val="003126C2"/>
    <w:rsid w:val="00314310"/>
    <w:rsid w:val="00314355"/>
    <w:rsid w:val="003158CF"/>
    <w:rsid w:val="00317F29"/>
    <w:rsid w:val="00321237"/>
    <w:rsid w:val="0032161C"/>
    <w:rsid w:val="00322F0E"/>
    <w:rsid w:val="00323DF2"/>
    <w:rsid w:val="00331328"/>
    <w:rsid w:val="00333843"/>
    <w:rsid w:val="003348DF"/>
    <w:rsid w:val="00336BC5"/>
    <w:rsid w:val="00345029"/>
    <w:rsid w:val="00346229"/>
    <w:rsid w:val="003465BD"/>
    <w:rsid w:val="003542A1"/>
    <w:rsid w:val="00354ACA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09B3"/>
    <w:rsid w:val="00381AA7"/>
    <w:rsid w:val="00382E8E"/>
    <w:rsid w:val="003863ED"/>
    <w:rsid w:val="00387CEC"/>
    <w:rsid w:val="00390C79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54A"/>
    <w:rsid w:val="003D3EE3"/>
    <w:rsid w:val="003E3954"/>
    <w:rsid w:val="003E3AC8"/>
    <w:rsid w:val="003E7516"/>
    <w:rsid w:val="003F2B0D"/>
    <w:rsid w:val="003F5548"/>
    <w:rsid w:val="003F563F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339B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D7811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27BB5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1D0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042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57E26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77B07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B721B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979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4A0"/>
    <w:rsid w:val="0082056E"/>
    <w:rsid w:val="008229E0"/>
    <w:rsid w:val="008267A1"/>
    <w:rsid w:val="00832315"/>
    <w:rsid w:val="00833207"/>
    <w:rsid w:val="0083362E"/>
    <w:rsid w:val="0083431D"/>
    <w:rsid w:val="008368FA"/>
    <w:rsid w:val="00836A0A"/>
    <w:rsid w:val="00837479"/>
    <w:rsid w:val="00840D18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6854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E733E"/>
    <w:rsid w:val="009F4C16"/>
    <w:rsid w:val="009F7787"/>
    <w:rsid w:val="00A00E77"/>
    <w:rsid w:val="00A012E6"/>
    <w:rsid w:val="00A03D6D"/>
    <w:rsid w:val="00A11A66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3F85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3DA9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280F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04A5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332"/>
    <w:rsid w:val="00BB56AF"/>
    <w:rsid w:val="00BB5C4E"/>
    <w:rsid w:val="00BB5D07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AA8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750"/>
    <w:rsid w:val="00CF3855"/>
    <w:rsid w:val="00CF4E41"/>
    <w:rsid w:val="00CF570B"/>
    <w:rsid w:val="00CF66AF"/>
    <w:rsid w:val="00CF6E07"/>
    <w:rsid w:val="00D02297"/>
    <w:rsid w:val="00D10022"/>
    <w:rsid w:val="00D13D3F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5DE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27EA9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4E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14A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32C3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0FB2"/>
    <w:rsid w:val="00FA3806"/>
    <w:rsid w:val="00FA478F"/>
    <w:rsid w:val="00FA52D4"/>
    <w:rsid w:val="00FB0EC2"/>
    <w:rsid w:val="00FB2DFB"/>
    <w:rsid w:val="00FB446D"/>
    <w:rsid w:val="00FC1C34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9E64FD83-8D70-45C7-9361-C11F971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D806-D8F4-428D-A2F1-6DF6B7DB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14102</Words>
  <Characters>80383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37</cp:revision>
  <cp:lastPrinted>2022-07-08T07:00:00Z</cp:lastPrinted>
  <dcterms:created xsi:type="dcterms:W3CDTF">2022-05-24T07:36:00Z</dcterms:created>
  <dcterms:modified xsi:type="dcterms:W3CDTF">2022-07-11T09:24:00Z</dcterms:modified>
</cp:coreProperties>
</file>