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escdwzfrumny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ГЛАВА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escdwzfrumny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ПАВЛОВО-ПОСАДСКОГО МУНИЦИПАЛЬНОГО РАЙОНА 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escdwzfrumny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МОСКОВСКОЙ ОБЛАСТИ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gl7le4rg0p95" w:id="1"/>
      <w:bookmarkEnd w:id="1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РАСПОРЯЖЕНИЕ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sz w:val="21"/>
          <w:szCs w:val="21"/>
          <w:rtl w:val="0"/>
        </w:rPr>
        <w:t xml:space="preserve">30.03.2010</w:t>
        <w:tab/>
        <w:t xml:space="preserve">№ 148-р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г. Павловский Посад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Об организации приема граждан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в администрации Павлово-Посадского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муниципального района Московской области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С целью упорядочения работы администрации Павлово-Посадского муниципального района Московской области: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1. Утвердить: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1.1. График личного приема граждан Главой Павлово-Посадского муниципального района Московской области и заместителями Главы администрации Павлово-Посадского муниципального района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(приложение № 1)</w:t>
      </w: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1.2. График приема руководителями, специалистами органов и структурных подразделений администрации Павлово-Посадского муниципального района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(приложение № 2)</w:t>
      </w: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1.3. График приема руководителями управления культуры, спорта и молодежной политики администрации Павлово-Посадского муниципального района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(приложение № 3)</w:t>
      </w: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1.4. График приема руководителями и специалистами управления образования администрации Павлово-Посадского муниципального района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(приложение № 4)</w:t>
      </w: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1.5. График приема руководителями и специалистами отдела здравоохранения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(приложение № 5)</w:t>
      </w: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1.6. График приема руководителем управления муниципального заказа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(приложение № 6)</w:t>
      </w: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1.7. График приема руководителем финансового управления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(приложение № 7)</w:t>
      </w: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2. Опубликовать настоящее распоряжение в газете «Павлово-Посадские известия».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3. Признать утратившим силу распоряжение Главы Павлово-Посадского района Московской области от 15.01.2009 года № 10-р «Об организации приема граждан в администрации Павлово-Посадского муниципального района Московской области».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4. Контроль за выполнением настоящего распоряжения возложить на Первого заместителя Главы администрации Павлово-Посадского муниципального района Московской области С.В.Седова.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lef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А.Ю. Лютоев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Т.Ф. Елисеева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/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2-11-79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