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3B" w:rsidRPr="005367E5" w:rsidRDefault="00BA6C3B" w:rsidP="00BA6C3B">
      <w:pPr>
        <w:suppressAutoHyphens/>
        <w:spacing w:after="0"/>
        <w:jc w:val="center"/>
        <w:rPr>
          <w:rFonts w:ascii="Times New Roman" w:eastAsia="Droid Sans Fallback" w:hAnsi="Times New Roman" w:cs="Calibri"/>
          <w:b/>
          <w:sz w:val="40"/>
          <w:szCs w:val="40"/>
        </w:rPr>
      </w:pPr>
      <w:bookmarkStart w:id="0" w:name="_GoBack"/>
      <w:r w:rsidRPr="005367E5">
        <w:rPr>
          <w:rFonts w:ascii="Times New Roman" w:eastAsia="Droid Sans Fallback" w:hAnsi="Times New Roman" w:cs="Calibri"/>
          <w:b/>
          <w:sz w:val="40"/>
          <w:szCs w:val="40"/>
        </w:rPr>
        <w:t xml:space="preserve">Памятка </w:t>
      </w:r>
    </w:p>
    <w:p w:rsidR="00BA6C3B" w:rsidRPr="00BA6C3B" w:rsidRDefault="00BA6C3B" w:rsidP="00BA6C3B">
      <w:pPr>
        <w:spacing w:after="0" w:line="300" w:lineRule="exact"/>
        <w:ind w:firstLine="567"/>
        <w:jc w:val="center"/>
        <w:rPr>
          <w:rFonts w:ascii="Times New Roman" w:eastAsia="Droid Sans Fallback" w:hAnsi="Times New Roman" w:cs="Times New Roman"/>
          <w:b/>
          <w:sz w:val="32"/>
          <w:szCs w:val="32"/>
        </w:rPr>
      </w:pPr>
      <w:r w:rsidRPr="00BA6C3B">
        <w:rPr>
          <w:rFonts w:ascii="Times New Roman" w:eastAsia="Droid Sans Fallback" w:hAnsi="Times New Roman" w:cs="Times New Roman"/>
          <w:b/>
          <w:sz w:val="32"/>
          <w:szCs w:val="32"/>
        </w:rPr>
        <w:t>Приведение сведений государственного лесного реестра в соответствие со сведениями Единого государственного реестра недвижимости</w:t>
      </w:r>
    </w:p>
    <w:bookmarkEnd w:id="0"/>
    <w:p w:rsidR="00BA6C3B" w:rsidRPr="005367E5" w:rsidRDefault="00BA6C3B" w:rsidP="00BA6C3B">
      <w:pPr>
        <w:spacing w:after="0" w:line="300" w:lineRule="exact"/>
        <w:ind w:firstLine="567"/>
        <w:jc w:val="center"/>
        <w:rPr>
          <w:rFonts w:ascii="Times New Roman" w:eastAsia="Droid Sans Fallback" w:hAnsi="Times New Roman" w:cs="Times New Roman"/>
          <w:b/>
          <w:sz w:val="28"/>
          <w:szCs w:val="28"/>
        </w:rPr>
      </w:pPr>
    </w:p>
    <w:p w:rsidR="00BA6C3B" w:rsidRPr="00A977D6" w:rsidRDefault="00BA6C3B" w:rsidP="00BA6C3B">
      <w:pPr>
        <w:spacing w:after="0" w:line="300" w:lineRule="exact"/>
        <w:ind w:firstLine="567"/>
        <w:jc w:val="center"/>
        <w:rPr>
          <w:rFonts w:ascii="Times New Roman" w:hAnsi="Times New Roman" w:cs="Times New Roman"/>
          <w:b/>
          <w:sz w:val="28"/>
          <w:szCs w:val="28"/>
        </w:rPr>
      </w:pP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В случае, если в соответствии со сведениями, содержащимися                                 в государственном лесном реестре (далее – ГЛР), лесном плане субъекта Российской Федерации, земельный участок относится к категории земель лесного фонда</w:t>
      </w:r>
      <w:r>
        <w:rPr>
          <w:rFonts w:ascii="Times New Roman" w:eastAsia="Droid Sans Fallback" w:hAnsi="Times New Roman" w:cs="Times New Roman"/>
          <w:sz w:val="28"/>
          <w:szCs w:val="28"/>
        </w:rPr>
        <w:t xml:space="preserve"> (сведения можно увидеть в полученном градостроительном плане земельного участка)</w:t>
      </w:r>
      <w:r w:rsidRPr="005367E5">
        <w:rPr>
          <w:rFonts w:ascii="Times New Roman" w:eastAsia="Droid Sans Fallback" w:hAnsi="Times New Roman" w:cs="Times New Roman"/>
          <w:sz w:val="28"/>
          <w:szCs w:val="28"/>
        </w:rPr>
        <w:t xml:space="preserve">, а в соответствии со сведениями Единого государственного реестра недвижимости (далее – ЕГРН), правоустанавливающими или правоудостоверяющими документами земельный участок отнесен к иной категории земель – можно воспользоваться государственной услугой «Приведение сведений государственного лесного реестра в соответствие со сведениями Единого государственного реестра недвижимости» (далее – Государственная услуга). </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 xml:space="preserve">В соответствии с частью 7 статьи 10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орган исполнительной власти субъекта Российской Федерации, уполномоченный в области лесных отношений,                     до 1 января 2023 года приводит сведения ГЛР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 </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Государственную услугу в отношении земельных участков, расположенных на территории Московской области оказывает Комитет лесного хозяйства Московской области (Мособлкомлес).</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Оформить заявление на получение государственной услуги возможно через портал Государственных и муниципальных услуг (функций) Московской области: https://uslugi.mosreg.ru/.</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Перечень документов, необходимых для предоставления согласования:</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1) Заявление, заполненное с использованием специальной интерактивной формы (Приложение 1);</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 xml:space="preserve">2) Документ, удостоверяющий личность заявителя (представителя заявителя). </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согласования: для представителя юридического лица - доверенность на бланке организации, для представителя физического лица - нотариальная доверенность;</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lastRenderedPageBreak/>
        <w:t>4) правоустанавливающие или правоудостоверяющие документы                              на объекты недвижимости, указанные в заявлении при отсутствии таких сведений в ЕГРН.</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br w:type="page"/>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b/>
          <w:sz w:val="28"/>
          <w:szCs w:val="28"/>
        </w:rPr>
      </w:pPr>
      <w:r w:rsidRPr="005367E5">
        <w:rPr>
          <w:rFonts w:ascii="Times New Roman" w:eastAsia="Droid Sans Fallback" w:hAnsi="Times New Roman" w:cs="Times New Roman"/>
          <w:b/>
          <w:sz w:val="28"/>
          <w:szCs w:val="28"/>
        </w:rPr>
        <w:lastRenderedPageBreak/>
        <w:t>Обращаем Ваше внимание на наиболее частые причины отказа в оказании государственной услуги:</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н</w:t>
      </w:r>
      <w:r w:rsidRPr="005367E5">
        <w:rPr>
          <w:rFonts w:ascii="Times New Roman" w:eastAsia="Droid Sans Fallback" w:hAnsi="Times New Roman" w:cs="Times New Roman"/>
          <w:sz w:val="28"/>
          <w:szCs w:val="28"/>
        </w:rPr>
        <w:t>аличие противоречивых сведений в заявлении и приложенных к нему документах;</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п</w:t>
      </w:r>
      <w:r w:rsidRPr="005367E5">
        <w:rPr>
          <w:rFonts w:ascii="Times New Roman" w:eastAsia="Droid Sans Fallback" w:hAnsi="Times New Roman" w:cs="Times New Roman"/>
          <w:sz w:val="28"/>
          <w:szCs w:val="28"/>
        </w:rPr>
        <w:t>раво на земельный участок, возникло у правообладателя или предыдущих правообладателей после 01.01.2016;</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о</w:t>
      </w:r>
      <w:r w:rsidRPr="005367E5">
        <w:rPr>
          <w:rFonts w:ascii="Times New Roman" w:eastAsia="Droid Sans Fallback" w:hAnsi="Times New Roman" w:cs="Times New Roman"/>
          <w:sz w:val="28"/>
          <w:szCs w:val="28"/>
        </w:rPr>
        <w:t>тсутствие в Едином государственном реестре недвижимости сведений о возникновении права на земельный участок до 01.01.2016;</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з</w:t>
      </w:r>
      <w:r w:rsidRPr="005367E5">
        <w:rPr>
          <w:rFonts w:ascii="Times New Roman" w:eastAsia="Droid Sans Fallback" w:hAnsi="Times New Roman" w:cs="Times New Roman"/>
          <w:sz w:val="28"/>
          <w:szCs w:val="28"/>
        </w:rPr>
        <w:t>емельный участок расположен в границах особо охраняемых природных территорий, территорий объектов культурного наследия;</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г</w:t>
      </w:r>
      <w:r w:rsidRPr="005367E5">
        <w:rPr>
          <w:rFonts w:ascii="Times New Roman" w:eastAsia="Droid Sans Fallback" w:hAnsi="Times New Roman" w:cs="Times New Roman"/>
          <w:sz w:val="28"/>
          <w:szCs w:val="28"/>
        </w:rPr>
        <w:t>раницы особо охраняемых природных территорий, территорий объектов культурного наследия не установлены, а после установления границ указанных территорий земельный участок будет расположен в границах указанных территорий;</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з</w:t>
      </w:r>
      <w:r w:rsidRPr="005367E5">
        <w:rPr>
          <w:rFonts w:ascii="Times New Roman" w:eastAsia="Droid Sans Fallback" w:hAnsi="Times New Roman" w:cs="Times New Roman"/>
          <w:sz w:val="28"/>
          <w:szCs w:val="28"/>
        </w:rPr>
        <w:t>емельный участок относится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земельном участке отсутствуют объекты недвижимости, права на которые зарегистрированы;</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з</w:t>
      </w:r>
      <w:r w:rsidRPr="005367E5">
        <w:rPr>
          <w:rFonts w:ascii="Times New Roman" w:eastAsia="Droid Sans Fallback" w:hAnsi="Times New Roman" w:cs="Times New Roman"/>
          <w:sz w:val="28"/>
          <w:szCs w:val="28"/>
        </w:rPr>
        <w:t>емельный участок, относящийся к землям сельскохозяйственного назначения, оборот которого регулируется Федеральным законом от 24.07.2002 года №101-ФЗ «Об обороте земель сельскохозяйственного назначения», при наличии у Мособлкомлеса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их использования с нарушением законодательства Российской Федерации;</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н</w:t>
      </w:r>
      <w:r w:rsidRPr="005367E5">
        <w:rPr>
          <w:rFonts w:ascii="Times New Roman" w:eastAsia="Droid Sans Fallback" w:hAnsi="Times New Roman" w:cs="Times New Roman"/>
          <w:sz w:val="28"/>
          <w:szCs w:val="28"/>
        </w:rPr>
        <w:t>аличие вступившего в законную силу решения суда о прекращении прав заявителя на земельный участок, указанный в заявлении;</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н</w:t>
      </w:r>
      <w:r w:rsidRPr="005367E5">
        <w:rPr>
          <w:rFonts w:ascii="Times New Roman" w:eastAsia="Droid Sans Fallback" w:hAnsi="Times New Roman" w:cs="Times New Roman"/>
          <w:sz w:val="28"/>
          <w:szCs w:val="28"/>
        </w:rPr>
        <w:t>аличие принятых уполномоченными органами власти решений о запрете осуществления регистрационных действий в отношении земельного участка, указанного в заявлении;</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н</w:t>
      </w:r>
      <w:r w:rsidRPr="005367E5">
        <w:rPr>
          <w:rFonts w:ascii="Times New Roman" w:eastAsia="Droid Sans Fallback" w:hAnsi="Times New Roman" w:cs="Times New Roman"/>
          <w:sz w:val="28"/>
          <w:szCs w:val="28"/>
        </w:rPr>
        <w:t>аличие сведений, поступивших из правоохранительных органов                            о проведении оперативно-розыскных или следственных действий                              в отношении земельного участка, указанного в заявлении;</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г</w:t>
      </w:r>
      <w:r w:rsidRPr="005367E5">
        <w:rPr>
          <w:rFonts w:ascii="Times New Roman" w:eastAsia="Droid Sans Fallback" w:hAnsi="Times New Roman" w:cs="Times New Roman"/>
          <w:sz w:val="28"/>
          <w:szCs w:val="28"/>
        </w:rPr>
        <w:t>раница земельного участка не установлена в соответствии с законодательством;</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Pr>
          <w:rFonts w:ascii="Times New Roman" w:eastAsia="Droid Sans Fallback" w:hAnsi="Times New Roman" w:cs="Times New Roman"/>
          <w:sz w:val="28"/>
          <w:szCs w:val="28"/>
        </w:rPr>
        <w:t>- о</w:t>
      </w:r>
      <w:r w:rsidRPr="005367E5">
        <w:rPr>
          <w:rFonts w:ascii="Times New Roman" w:eastAsia="Droid Sans Fallback" w:hAnsi="Times New Roman" w:cs="Times New Roman"/>
          <w:sz w:val="28"/>
          <w:szCs w:val="28"/>
        </w:rPr>
        <w:t>тзыв заявления на предоставление услуги по инициативе заявителя.</w:t>
      </w:r>
    </w:p>
    <w:p w:rsidR="00BA6C3B" w:rsidRDefault="00BA6C3B" w:rsidP="00BA6C3B">
      <w:pPr>
        <w:suppressAutoHyphens/>
        <w:spacing w:after="0" w:line="264" w:lineRule="auto"/>
        <w:ind w:firstLine="709"/>
        <w:jc w:val="both"/>
        <w:rPr>
          <w:rFonts w:ascii="Times New Roman" w:eastAsia="Droid Sans Fallback" w:hAnsi="Times New Roman" w:cs="Times New Roman"/>
          <w:sz w:val="28"/>
          <w:szCs w:val="28"/>
        </w:rPr>
      </w:pPr>
    </w:p>
    <w:p w:rsidR="00BA6C3B" w:rsidRDefault="00BA6C3B" w:rsidP="00BA6C3B">
      <w:pPr>
        <w:suppressAutoHyphens/>
        <w:spacing w:after="0" w:line="264" w:lineRule="auto"/>
        <w:ind w:firstLine="709"/>
        <w:jc w:val="both"/>
        <w:rPr>
          <w:rFonts w:ascii="Times New Roman" w:eastAsia="Droid Sans Fallback" w:hAnsi="Times New Roman" w:cs="Times New Roman"/>
          <w:sz w:val="28"/>
          <w:szCs w:val="28"/>
        </w:rPr>
      </w:pPr>
    </w:p>
    <w:p w:rsidR="00BA6C3B" w:rsidRDefault="00BA6C3B" w:rsidP="00BA6C3B">
      <w:pPr>
        <w:suppressAutoHyphens/>
        <w:spacing w:after="0" w:line="264" w:lineRule="auto"/>
        <w:ind w:firstLine="709"/>
        <w:jc w:val="both"/>
        <w:rPr>
          <w:rFonts w:ascii="Times New Roman" w:eastAsia="Droid Sans Fallback" w:hAnsi="Times New Roman" w:cs="Times New Roman"/>
          <w:sz w:val="28"/>
          <w:szCs w:val="28"/>
        </w:rPr>
      </w:pP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lastRenderedPageBreak/>
        <w:t>Требования к форматам заявления и иных документов, предоставляемых в форме электронных документов необходимых для предоставления государственной услуги приведены в разделе 21 Административного регламента предоставления государственной услуги по приведению сведений государственного лесного реестра в соответствие со сведениями единого государственного реестра недвижимости, утверждённого распоряжением Мособлкомлеса от 27.12.2018 № 26 РВ-15.</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В случае получения положительного решения по Государственной услуге, Мособлкомлес направляет копию утвержденного акта о внесении изменений в государственный лесной реестр (далее – Акт) в отношении рассматриваемого земельного участка в Комитет по архитектуре и градостроительству Московской области (далее – Мособлархитектура).</w:t>
      </w:r>
    </w:p>
    <w:p w:rsidR="00BA6C3B" w:rsidRPr="005367E5" w:rsidRDefault="00BA6C3B" w:rsidP="00BA6C3B">
      <w:pPr>
        <w:suppressAutoHyphens/>
        <w:spacing w:after="0" w:line="264" w:lineRule="auto"/>
        <w:ind w:firstLine="709"/>
        <w:jc w:val="both"/>
        <w:rPr>
          <w:rFonts w:ascii="Times New Roman" w:eastAsia="Droid Sans Fallback" w:hAnsi="Times New Roman" w:cs="Times New Roman"/>
          <w:sz w:val="28"/>
          <w:szCs w:val="28"/>
        </w:rPr>
      </w:pPr>
      <w:r w:rsidRPr="005367E5">
        <w:rPr>
          <w:rFonts w:ascii="Times New Roman" w:eastAsia="Droid Sans Fallback" w:hAnsi="Times New Roman" w:cs="Times New Roman"/>
          <w:sz w:val="28"/>
          <w:szCs w:val="28"/>
        </w:rPr>
        <w:t xml:space="preserve">До подачи заявления в Мособлархитектуру </w:t>
      </w:r>
      <w:r>
        <w:rPr>
          <w:rFonts w:ascii="Times New Roman" w:eastAsia="Droid Sans Fallback" w:hAnsi="Times New Roman" w:cs="Times New Roman"/>
          <w:sz w:val="28"/>
          <w:szCs w:val="28"/>
        </w:rPr>
        <w:t>о</w:t>
      </w:r>
      <w:r w:rsidRPr="005367E5">
        <w:rPr>
          <w:rFonts w:ascii="Times New Roman" w:eastAsia="Droid Sans Fallback" w:hAnsi="Times New Roman" w:cs="Times New Roman"/>
          <w:sz w:val="28"/>
          <w:szCs w:val="28"/>
        </w:rPr>
        <w:t xml:space="preserve"> выдач</w:t>
      </w:r>
      <w:r>
        <w:rPr>
          <w:rFonts w:ascii="Times New Roman" w:eastAsia="Droid Sans Fallback" w:hAnsi="Times New Roman" w:cs="Times New Roman"/>
          <w:sz w:val="28"/>
          <w:szCs w:val="28"/>
        </w:rPr>
        <w:t>е</w:t>
      </w:r>
      <w:r w:rsidRPr="005367E5">
        <w:rPr>
          <w:rFonts w:ascii="Times New Roman" w:eastAsia="Droid Sans Fallback" w:hAnsi="Times New Roman" w:cs="Times New Roman"/>
          <w:sz w:val="28"/>
          <w:szCs w:val="28"/>
        </w:rPr>
        <w:t xml:space="preserve"> нового градостроительного плана </w:t>
      </w:r>
      <w:r>
        <w:rPr>
          <w:rFonts w:ascii="Times New Roman" w:eastAsia="Droid Sans Fallback" w:hAnsi="Times New Roman" w:cs="Times New Roman"/>
          <w:sz w:val="28"/>
          <w:szCs w:val="28"/>
        </w:rPr>
        <w:t xml:space="preserve">земельного участка </w:t>
      </w:r>
      <w:r w:rsidRPr="005367E5">
        <w:rPr>
          <w:rFonts w:ascii="Times New Roman" w:eastAsia="Droid Sans Fallback" w:hAnsi="Times New Roman" w:cs="Times New Roman"/>
          <w:sz w:val="28"/>
          <w:szCs w:val="28"/>
        </w:rPr>
        <w:t xml:space="preserve">без ограничений в части наличия пересечений рассматриваемого земельного участка с землями лесного фонда, рекомендуется обратиться (в свободной форме) в Мособлархитектуру об уточнении информации о направлении </w:t>
      </w:r>
      <w:r w:rsidRPr="00895EE0">
        <w:rPr>
          <w:rFonts w:ascii="Times New Roman" w:eastAsia="Droid Sans Fallback" w:hAnsi="Times New Roman" w:cs="Times New Roman"/>
          <w:sz w:val="28"/>
          <w:szCs w:val="28"/>
        </w:rPr>
        <w:t>Мособлкомлесом</w:t>
      </w:r>
      <w:r w:rsidRPr="000C5780">
        <w:rPr>
          <w:rFonts w:ascii="Times New Roman" w:eastAsia="Droid Sans Fallback" w:hAnsi="Times New Roman" w:cs="Times New Roman"/>
          <w:sz w:val="28"/>
          <w:szCs w:val="28"/>
        </w:rPr>
        <w:t xml:space="preserve"> копии такого Акта в Мособлархитектуру</w:t>
      </w:r>
      <w:r w:rsidRPr="005367E5">
        <w:rPr>
          <w:rFonts w:ascii="Times New Roman" w:eastAsia="Droid Sans Fallback" w:hAnsi="Times New Roman" w:cs="Times New Roman"/>
          <w:sz w:val="28"/>
          <w:szCs w:val="28"/>
        </w:rPr>
        <w:t>.</w:t>
      </w:r>
    </w:p>
    <w:p w:rsidR="00BA6C3B" w:rsidRPr="005123A8" w:rsidRDefault="00BA6C3B" w:rsidP="00BA6C3B">
      <w:pPr>
        <w:pStyle w:val="a5"/>
        <w:spacing w:after="0" w:line="3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A6C3B" w:rsidRDefault="00BA6C3B" w:rsidP="00BA6C3B">
      <w:pPr>
        <w:rPr>
          <w:rFonts w:ascii="Times New Roman" w:hAnsi="Times New Roman" w:cs="Times New Roman"/>
          <w:sz w:val="28"/>
          <w:szCs w:val="28"/>
        </w:rPr>
      </w:pPr>
      <w:r>
        <w:rPr>
          <w:rFonts w:ascii="Times New Roman" w:hAnsi="Times New Roman" w:cs="Times New Roman"/>
          <w:sz w:val="28"/>
          <w:szCs w:val="28"/>
        </w:rPr>
        <w:br w:type="page"/>
      </w:r>
    </w:p>
    <w:p w:rsidR="00BA6C3B" w:rsidRDefault="00BA6C3B" w:rsidP="00BA6C3B">
      <w:pPr>
        <w:spacing w:after="1" w:line="280" w:lineRule="atLeast"/>
        <w:ind w:firstLine="426"/>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r>
        <w:rPr>
          <w:noProof/>
          <w:lang w:eastAsia="ru-RU"/>
        </w:rPr>
        <w:drawing>
          <wp:inline distT="0" distB="0" distL="0" distR="0" wp14:anchorId="65EA877E" wp14:editId="715CE7A7">
            <wp:extent cx="6119495" cy="7068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9495" cy="7068185"/>
                    </a:xfrm>
                    <a:prstGeom prst="rect">
                      <a:avLst/>
                    </a:prstGeom>
                  </pic:spPr>
                </pic:pic>
              </a:graphicData>
            </a:graphic>
          </wp:inline>
        </w:drawing>
      </w:r>
    </w:p>
    <w:p w:rsidR="00BA6C3B" w:rsidRPr="000235D7" w:rsidRDefault="00BA6C3B" w:rsidP="00BA6C3B">
      <w:pPr>
        <w:spacing w:after="1" w:line="280" w:lineRule="atLeast"/>
        <w:jc w:val="right"/>
        <w:outlineLvl w:val="0"/>
        <w:rPr>
          <w:rFonts w:ascii="Times New Roman" w:hAnsi="Times New Roman" w:cs="Times New Roman"/>
          <w:sz w:val="28"/>
          <w:szCs w:val="28"/>
        </w:rPr>
      </w:pPr>
      <w:r>
        <w:rPr>
          <w:noProof/>
          <w:lang w:eastAsia="ru-RU"/>
        </w:rPr>
        <w:lastRenderedPageBreak/>
        <w:drawing>
          <wp:inline distT="0" distB="0" distL="0" distR="0" wp14:anchorId="142FEDAD" wp14:editId="0DBDD101">
            <wp:extent cx="6119495" cy="84435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9495" cy="8443595"/>
                    </a:xfrm>
                    <a:prstGeom prst="rect">
                      <a:avLst/>
                    </a:prstGeom>
                  </pic:spPr>
                </pic:pic>
              </a:graphicData>
            </a:graphic>
          </wp:inline>
        </w:drawing>
      </w:r>
      <w:r>
        <w:rPr>
          <w:noProof/>
          <w:lang w:eastAsia="ru-RU"/>
        </w:rPr>
        <w:lastRenderedPageBreak/>
        <w:drawing>
          <wp:inline distT="0" distB="0" distL="0" distR="0" wp14:anchorId="4607CDF5" wp14:editId="34750B7E">
            <wp:extent cx="6119495" cy="814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8140700"/>
                    </a:xfrm>
                    <a:prstGeom prst="rect">
                      <a:avLst/>
                    </a:prstGeom>
                  </pic:spPr>
                </pic:pic>
              </a:graphicData>
            </a:graphic>
          </wp:inline>
        </w:drawing>
      </w:r>
      <w:r>
        <w:rPr>
          <w:noProof/>
          <w:lang w:eastAsia="ru-RU"/>
        </w:rPr>
        <w:lastRenderedPageBreak/>
        <w:drawing>
          <wp:inline distT="0" distB="0" distL="0" distR="0" wp14:anchorId="0946B24D" wp14:editId="7832D90F">
            <wp:extent cx="6119495" cy="4804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4804410"/>
                    </a:xfrm>
                    <a:prstGeom prst="rect">
                      <a:avLst/>
                    </a:prstGeom>
                  </pic:spPr>
                </pic:pic>
              </a:graphicData>
            </a:graphic>
          </wp:inline>
        </w:drawing>
      </w:r>
    </w:p>
    <w:p w:rsidR="00B925B0" w:rsidRDefault="00B925B0"/>
    <w:sectPr w:rsidR="00B925B0" w:rsidSect="000C4B01">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09" w:rsidRDefault="00ED7109">
      <w:pPr>
        <w:spacing w:after="0" w:line="240" w:lineRule="auto"/>
      </w:pPr>
      <w:r>
        <w:separator/>
      </w:r>
    </w:p>
  </w:endnote>
  <w:endnote w:type="continuationSeparator" w:id="0">
    <w:p w:rsidR="00ED7109" w:rsidRDefault="00ED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09" w:rsidRDefault="00ED7109">
      <w:pPr>
        <w:spacing w:after="0" w:line="240" w:lineRule="auto"/>
      </w:pPr>
      <w:r>
        <w:separator/>
      </w:r>
    </w:p>
  </w:footnote>
  <w:footnote w:type="continuationSeparator" w:id="0">
    <w:p w:rsidR="00ED7109" w:rsidRDefault="00ED7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82244"/>
      <w:docPartObj>
        <w:docPartGallery w:val="Page Numbers (Top of Page)"/>
        <w:docPartUnique/>
      </w:docPartObj>
    </w:sdtPr>
    <w:sdtEndPr>
      <w:rPr>
        <w:rFonts w:ascii="Times New Roman" w:hAnsi="Times New Roman" w:cs="Times New Roman"/>
        <w:sz w:val="28"/>
        <w:szCs w:val="28"/>
      </w:rPr>
    </w:sdtEndPr>
    <w:sdtContent>
      <w:p w:rsidR="000C4B01" w:rsidRPr="000C4B01" w:rsidRDefault="00BA6C3B">
        <w:pPr>
          <w:pStyle w:val="a6"/>
          <w:jc w:val="center"/>
          <w:rPr>
            <w:rFonts w:ascii="Times New Roman" w:hAnsi="Times New Roman" w:cs="Times New Roman"/>
            <w:sz w:val="28"/>
            <w:szCs w:val="28"/>
          </w:rPr>
        </w:pPr>
        <w:r w:rsidRPr="000C4B01">
          <w:rPr>
            <w:rFonts w:ascii="Times New Roman" w:hAnsi="Times New Roman" w:cs="Times New Roman"/>
            <w:sz w:val="28"/>
            <w:szCs w:val="28"/>
          </w:rPr>
          <w:fldChar w:fldCharType="begin"/>
        </w:r>
        <w:r w:rsidRPr="000C4B01">
          <w:rPr>
            <w:rFonts w:ascii="Times New Roman" w:hAnsi="Times New Roman" w:cs="Times New Roman"/>
            <w:sz w:val="28"/>
            <w:szCs w:val="28"/>
          </w:rPr>
          <w:instrText>PAGE   \* MERGEFORMAT</w:instrText>
        </w:r>
        <w:r w:rsidRPr="000C4B01">
          <w:rPr>
            <w:rFonts w:ascii="Times New Roman" w:hAnsi="Times New Roman" w:cs="Times New Roman"/>
            <w:sz w:val="28"/>
            <w:szCs w:val="28"/>
          </w:rPr>
          <w:fldChar w:fldCharType="separate"/>
        </w:r>
        <w:r w:rsidR="00E51281">
          <w:rPr>
            <w:rFonts w:ascii="Times New Roman" w:hAnsi="Times New Roman" w:cs="Times New Roman"/>
            <w:noProof/>
            <w:sz w:val="28"/>
            <w:szCs w:val="28"/>
          </w:rPr>
          <w:t>2</w:t>
        </w:r>
        <w:r w:rsidRPr="000C4B01">
          <w:rPr>
            <w:rFonts w:ascii="Times New Roman" w:hAnsi="Times New Roman" w:cs="Times New Roman"/>
            <w:sz w:val="28"/>
            <w:szCs w:val="28"/>
          </w:rPr>
          <w:fldChar w:fldCharType="end"/>
        </w:r>
      </w:p>
    </w:sdtContent>
  </w:sdt>
  <w:p w:rsidR="000C4B01" w:rsidRDefault="00ED710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3B"/>
    <w:rsid w:val="00B925B0"/>
    <w:rsid w:val="00BA6C3B"/>
    <w:rsid w:val="00E51281"/>
    <w:rsid w:val="00ED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DF32-E947-4983-9780-1A7245D8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3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C3B"/>
    <w:pPr>
      <w:spacing w:after="0" w:line="240" w:lineRule="auto"/>
    </w:pPr>
    <w:rPr>
      <w:rFonts w:ascii="Tahoma" w:hAnsi="Tahoma" w:cs="Tahoma"/>
      <w:sz w:val="16"/>
      <w:szCs w:val="16"/>
      <w:lang w:val="fr-CH"/>
    </w:rPr>
  </w:style>
  <w:style w:type="character" w:customStyle="1" w:styleId="a4">
    <w:name w:val="Текст выноски Знак"/>
    <w:basedOn w:val="a0"/>
    <w:link w:val="a3"/>
    <w:uiPriority w:val="99"/>
    <w:semiHidden/>
    <w:rsid w:val="00BA6C3B"/>
    <w:rPr>
      <w:rFonts w:ascii="Tahoma" w:hAnsi="Tahoma" w:cs="Tahoma"/>
      <w:sz w:val="16"/>
      <w:szCs w:val="16"/>
    </w:rPr>
  </w:style>
  <w:style w:type="paragraph" w:styleId="a5">
    <w:name w:val="List Paragraph"/>
    <w:basedOn w:val="a"/>
    <w:uiPriority w:val="34"/>
    <w:qFormat/>
    <w:rsid w:val="00BA6C3B"/>
    <w:pPr>
      <w:ind w:left="720"/>
      <w:contextualSpacing/>
    </w:pPr>
  </w:style>
  <w:style w:type="paragraph" w:styleId="a6">
    <w:name w:val="header"/>
    <w:basedOn w:val="a"/>
    <w:link w:val="a7"/>
    <w:uiPriority w:val="99"/>
    <w:unhideWhenUsed/>
    <w:rsid w:val="00BA6C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6C3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Ольга Витальевна</dc:creator>
  <dc:description>exif_MSED_d5323cb66aab28449a618e5fe734d7ac30837d939f9d1dd9018b4b258130cd99</dc:description>
  <cp:lastModifiedBy>Анастасия Александровна Саукова</cp:lastModifiedBy>
  <cp:revision>2</cp:revision>
  <dcterms:created xsi:type="dcterms:W3CDTF">2019-08-01T10:48:00Z</dcterms:created>
  <dcterms:modified xsi:type="dcterms:W3CDTF">2019-08-01T10:48:00Z</dcterms:modified>
</cp:coreProperties>
</file>