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6C" w:rsidRDefault="00345A6C" w:rsidP="00345A6C">
      <w:pPr>
        <w:ind w:left="1555" w:right="19"/>
        <w:rPr>
          <w:sz w:val="20"/>
          <w:szCs w:val="20"/>
        </w:rPr>
      </w:pPr>
    </w:p>
    <w:p w:rsidR="00AB080E" w:rsidRPr="00AB080E" w:rsidRDefault="00AB080E" w:rsidP="00AB080E">
      <w:pPr>
        <w:autoSpaceDE w:val="0"/>
        <w:autoSpaceDN w:val="0"/>
        <w:adjustRightInd w:val="0"/>
        <w:ind w:left="7080"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Приложение № 1</w:t>
      </w:r>
    </w:p>
    <w:p w:rsidR="00AB080E" w:rsidRDefault="00AB080E" w:rsidP="00AB080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B080E">
        <w:rPr>
          <w:b/>
          <w:bCs/>
          <w:color w:val="000000"/>
          <w:sz w:val="28"/>
          <w:szCs w:val="28"/>
        </w:rPr>
        <w:t xml:space="preserve">Памятка и критерии самооценки для компаний – субъектов малого </w:t>
      </w:r>
      <w:r w:rsidR="00AA4F7C">
        <w:rPr>
          <w:b/>
          <w:bCs/>
          <w:color w:val="000000"/>
          <w:sz w:val="28"/>
          <w:szCs w:val="28"/>
        </w:rPr>
        <w:br/>
      </w:r>
      <w:r w:rsidRPr="00AB080E">
        <w:rPr>
          <w:b/>
          <w:bCs/>
          <w:color w:val="000000"/>
          <w:sz w:val="28"/>
          <w:szCs w:val="28"/>
        </w:rPr>
        <w:t>и</w:t>
      </w:r>
      <w:r w:rsidR="00AA4F7C">
        <w:rPr>
          <w:b/>
          <w:bCs/>
          <w:color w:val="000000"/>
          <w:sz w:val="28"/>
          <w:szCs w:val="28"/>
        </w:rPr>
        <w:t xml:space="preserve"> </w:t>
      </w:r>
      <w:r w:rsidRPr="00AB080E">
        <w:rPr>
          <w:b/>
          <w:bCs/>
          <w:color w:val="000000"/>
          <w:sz w:val="28"/>
          <w:szCs w:val="28"/>
        </w:rPr>
        <w:t>среднего предпринимательства</w:t>
      </w:r>
    </w:p>
    <w:bookmarkEnd w:id="0"/>
    <w:p w:rsidR="00AB080E" w:rsidRP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>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Памятка и критерии самооценки для компаний представляют собой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инструмент для проведения первичной самооценки компаниями –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субъектами малого и среднего предпринимательства (далее – Критерии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самооценки, МСП).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Самооценка компанией является первым этапом и не гарантирует выход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компаний на фондовый рынок.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Компаниям рекомендуется осуществлять предварительную самооценку,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изложенную в разделе «Критерии самооценки компаний».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rFonts w:eastAsia="SymbolMT"/>
          <w:color w:val="000000"/>
          <w:sz w:val="28"/>
          <w:szCs w:val="28"/>
        </w:rPr>
        <w:t xml:space="preserve"> </w:t>
      </w:r>
      <w:r>
        <w:rPr>
          <w:rFonts w:eastAsia="SymbolMT"/>
          <w:color w:val="000000"/>
          <w:sz w:val="28"/>
          <w:szCs w:val="28"/>
        </w:rPr>
        <w:tab/>
      </w:r>
      <w:r w:rsidRPr="00AB080E">
        <w:rPr>
          <w:color w:val="000000"/>
          <w:sz w:val="28"/>
          <w:szCs w:val="28"/>
        </w:rPr>
        <w:t>В случае соответствия компании критериям самооценки, компании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рекомендуется обратиться для консультирования к одному из брокеров –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организаторов размещения облигаций. Список брокеров можно найти на</w:t>
      </w:r>
      <w:r w:rsidR="00AA4F7C"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сайте: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a. Банка России </w:t>
      </w:r>
      <w:r w:rsidRPr="00AB080E">
        <w:rPr>
          <w:color w:val="0563C2"/>
          <w:sz w:val="28"/>
          <w:szCs w:val="28"/>
        </w:rPr>
        <w:t>http://www.cbr.ru/finmarket/registries/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b. СРО «Национальная финансовая ассоциация» </w:t>
      </w:r>
      <w:r w:rsidRPr="00AB080E">
        <w:rPr>
          <w:color w:val="0563C2"/>
          <w:sz w:val="28"/>
          <w:szCs w:val="28"/>
        </w:rPr>
        <w:t>new.nfa.ru1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c. СРО «Национальная ассоциация участников фондового рынка»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563C2"/>
          <w:sz w:val="28"/>
          <w:szCs w:val="28"/>
        </w:rPr>
        <w:t>https:/naufor.ru</w:t>
      </w:r>
      <w:r w:rsidRPr="00AB080E">
        <w:rPr>
          <w:color w:val="000000"/>
          <w:sz w:val="28"/>
          <w:szCs w:val="28"/>
        </w:rPr>
        <w:t>1,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Также можно обратиться напрямую на биржу, как торговую площадку,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организующую размещение и торги облигациями: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d. ПАО Московская Биржа </w:t>
      </w:r>
      <w:r w:rsidRPr="00AB080E">
        <w:rPr>
          <w:color w:val="0563C2"/>
          <w:sz w:val="28"/>
          <w:szCs w:val="28"/>
        </w:rPr>
        <w:t>rost@moex.com</w:t>
      </w:r>
      <w:r w:rsidRPr="00AB080E">
        <w:rPr>
          <w:color w:val="000000"/>
          <w:sz w:val="28"/>
          <w:szCs w:val="28"/>
        </w:rPr>
        <w:t>,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e. ПАО «Санкт-Петербургская биржа» тел. +7 (495) 899-01-70-70.</w:t>
      </w:r>
    </w:p>
    <w:p w:rsidR="00AB080E" w:rsidRPr="00AB080E" w:rsidRDefault="00AB080E" w:rsidP="00AB0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B080E">
        <w:rPr>
          <w:b/>
          <w:bCs/>
          <w:color w:val="000000"/>
          <w:sz w:val="28"/>
          <w:szCs w:val="28"/>
        </w:rPr>
        <w:t>Критерии самооценки компаний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1. Компания является субъектом МСП, что подтверждается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наличием сведений о ней в едином реестре субъектов малого и среднего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предпринимательства </w:t>
      </w:r>
      <w:r w:rsidRPr="00AB080E">
        <w:rPr>
          <w:color w:val="0563C2"/>
          <w:sz w:val="28"/>
          <w:szCs w:val="28"/>
        </w:rPr>
        <w:t xml:space="preserve">https://rmsp.nalog.ru/ </w:t>
      </w:r>
      <w:r w:rsidRPr="00AB080E">
        <w:rPr>
          <w:color w:val="000000"/>
          <w:sz w:val="28"/>
          <w:szCs w:val="28"/>
        </w:rPr>
        <w:t>на последнюю доступную дату.</w:t>
      </w:r>
    </w:p>
    <w:p w:rsid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2. В видах деятельности компании отсутствуют такие виды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деятельности, как производство и (или) реализация подакцизных товаров;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добыча и (или) реализация полезных ископаемых, за исключением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общераспространенных полезных ископаемых. 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Компания не является: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кредитной организацией, страховой организацией и микрофинансовой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организацией (за исключением потребительских кооперативов),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инвестиционным фондом, негосударственным пенсионным фондом,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профессиональным участником рынка ценных бумаг, ломбардом; участником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соглашений о разделе продукции; организацией, осуществляющей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предпринимательскую деятельность в сфере игорного бизнеса.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3. Срок «жизни» компании составляет не менее 3 лет. Параметр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проверяется по дате регистрации компании (дату можно проверить в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учредительных документах, либо в выписке из единого государственного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реестра юридических лиц (ЕГРЮЛ</w:t>
      </w:r>
      <w:r w:rsidRPr="00AB080E">
        <w:rPr>
          <w:b/>
          <w:bCs/>
          <w:color w:val="000000"/>
          <w:sz w:val="28"/>
          <w:szCs w:val="28"/>
        </w:rPr>
        <w:t xml:space="preserve">) </w:t>
      </w:r>
      <w:r w:rsidRPr="00AB080E">
        <w:rPr>
          <w:color w:val="0563C2"/>
          <w:sz w:val="28"/>
          <w:szCs w:val="28"/>
        </w:rPr>
        <w:t>https://egrul.nalog.ru/</w:t>
      </w:r>
      <w:r w:rsidRPr="00AB080E">
        <w:rPr>
          <w:color w:val="000000"/>
          <w:sz w:val="28"/>
          <w:szCs w:val="28"/>
        </w:rPr>
        <w:t>).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4. Компания не находится в состоянии ликвидации или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реорганизации. Проверку параметра можно осуществить с помощью сервиса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Федеральной налоговой службы «Сообщения юридических лиц,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опубликованные в журнале «Вестник государственной регистрации» по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адресу: </w:t>
      </w:r>
      <w:r w:rsidRPr="00AB080E">
        <w:rPr>
          <w:color w:val="0563C2"/>
          <w:sz w:val="28"/>
          <w:szCs w:val="28"/>
        </w:rPr>
        <w:t>https://www.vestnik-gosreg.ru/publ/vgr</w:t>
      </w:r>
      <w:r>
        <w:rPr>
          <w:color w:val="0563C2"/>
          <w:sz w:val="28"/>
          <w:szCs w:val="28"/>
        </w:rPr>
        <w:t>.</w:t>
      </w:r>
    </w:p>
    <w:p w:rsid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A4F7C" w:rsidRDefault="00AA4F7C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lastRenderedPageBreak/>
        <w:t>5. У компании отсутствует задолженность по уплате налогов.</w:t>
      </w:r>
    </w:p>
    <w:p w:rsidR="00AB080E" w:rsidRPr="00AB080E" w:rsidRDefault="00AB080E" w:rsidP="00AB08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Проверку параметра можно осуществить с помощью сервиса Федеральной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 xml:space="preserve">налоговой службы: </w:t>
      </w:r>
      <w:r w:rsidRPr="00AB080E">
        <w:rPr>
          <w:color w:val="0563C2"/>
          <w:sz w:val="28"/>
          <w:szCs w:val="28"/>
        </w:rPr>
        <w:t>https://service.nalog.ru/zd.do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6. Руководители компании не дисквалифицированы, адрес компании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не фигурирует в адресах массовой регистрации компаний. Проверку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параметра можно осуществить с помощью сервиса Федеральной налоговой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службы «Прозрачный бизнес»: </w:t>
      </w:r>
      <w:r w:rsidRPr="00AB080E">
        <w:rPr>
          <w:color w:val="0563C2"/>
          <w:sz w:val="28"/>
          <w:szCs w:val="28"/>
        </w:rPr>
        <w:t>https://pb.nalog.ru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563C2"/>
          <w:sz w:val="28"/>
          <w:szCs w:val="28"/>
        </w:rPr>
      </w:pPr>
      <w:r w:rsidRPr="00AB080E">
        <w:rPr>
          <w:color w:val="000000"/>
          <w:sz w:val="28"/>
          <w:szCs w:val="28"/>
        </w:rPr>
        <w:t>7. Компания не является зависимой компанией государственной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компании. Параметр подтверждается учредительными документами, сведения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можно проверить сервисом единого государственного реестра юридических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лиц </w:t>
      </w:r>
      <w:r w:rsidRPr="00AB080E">
        <w:rPr>
          <w:color w:val="0563C2"/>
          <w:sz w:val="28"/>
          <w:szCs w:val="28"/>
        </w:rPr>
        <w:t>http://egrul.nalog.ru/index.html</w:t>
      </w:r>
      <w:r>
        <w:rPr>
          <w:color w:val="0563C2"/>
          <w:sz w:val="28"/>
          <w:szCs w:val="28"/>
        </w:rPr>
        <w:t>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8. У компании отсутствует отрицательная кредитная история, в том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числе, нет просроченных платежей по кредитам свыше 30 дней в течение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последних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180 календарных дней. Проверяется запросом в Бюро кредитных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историй.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9. Выручка за предыдущий календарный год составляет от 120 млн.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рублей до 2 млрд. рублей. Выручка определяется по форме «Отчет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 финансовых результатах» за последний календарный год, строка 2110.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10. Средний темп прироста выручки за последние три года составляет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не менее 10%. Средний темп прироста выручки (СТПВ) за последние три года</w:t>
      </w:r>
    </w:p>
    <w:p w:rsidR="00AB080E" w:rsidRPr="00AB080E" w:rsidRDefault="00AB080E" w:rsidP="00AB08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считается по формуле: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СТПВ = (ПВ3 / ПВ1)1/3 – 1, где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ПВ1 – прирост выручки </w:t>
      </w:r>
      <w:r w:rsidR="00BD6FF9"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за первый год из трех анализируемых, например,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2016 год, ПВ3 – прирост выручки за последний год из трех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анализируемых, например, за 2018 год.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Прирост выручки определяется по форме «Отчет о финансовых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результатах», строка 2110.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11. Безубыточная деятельность в течение последних 3 лет. Чистая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прибыль (убыток) определяется по форме «Отчет о финансовых результатах»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последние три года, строка 2400. Значение в строке 2400 должно быть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положительным – отражаться без скобок.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12. Рекомендуемая рентабельность бизнеса не менее 15% (за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последний год и средняя за 3 последних года). Рентабельность бизнеса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рассчитывается по формуле: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Рентабельность = (Прибыль до налогообложения / Выручка) * 100%,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Прибыль до налогообложения – строка 2300 формы «Отчет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о финансовых результатах» за календарный год,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 xml:space="preserve">Выручка – строка 2110 формы «Отчет </w:t>
      </w:r>
      <w:r w:rsidR="00BD6FF9"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о финансовых результатах»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за календарный год.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13. Планируемый объем выпуска облигаций – от 100 млн. до 1 млрд</w:t>
      </w:r>
      <w:r w:rsidR="00BD6F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рублей.</w:t>
      </w:r>
    </w:p>
    <w:p w:rsidR="00AB080E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080E">
        <w:rPr>
          <w:color w:val="000000"/>
          <w:sz w:val="28"/>
          <w:szCs w:val="28"/>
        </w:rPr>
        <w:t>14. Срок привлечения средств – не менее 1 года и не более 3 лет.</w:t>
      </w:r>
    </w:p>
    <w:p w:rsidR="00345A6C" w:rsidRPr="00AB080E" w:rsidRDefault="00AB080E" w:rsidP="00AB08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80E">
        <w:rPr>
          <w:color w:val="000000"/>
          <w:sz w:val="28"/>
          <w:szCs w:val="28"/>
        </w:rPr>
        <w:t>15. Объем планируемого годового погашения облигаций (основной</w:t>
      </w:r>
      <w:r>
        <w:rPr>
          <w:color w:val="000000"/>
          <w:sz w:val="28"/>
          <w:szCs w:val="28"/>
        </w:rPr>
        <w:t xml:space="preserve"> </w:t>
      </w:r>
      <w:r w:rsidRPr="00AB080E">
        <w:rPr>
          <w:color w:val="000000"/>
          <w:sz w:val="28"/>
          <w:szCs w:val="28"/>
        </w:rPr>
        <w:t>долг и процентные платежи) должен быть меньше годовой прибыли (средней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AB080E">
        <w:rPr>
          <w:color w:val="000000"/>
          <w:sz w:val="28"/>
          <w:szCs w:val="28"/>
        </w:rPr>
        <w:t>за последние три года, строка 2400).</w:t>
      </w:r>
    </w:p>
    <w:sectPr w:rsidR="00345A6C" w:rsidRPr="00AB080E" w:rsidSect="00855FF3">
      <w:headerReference w:type="even" r:id="rId8"/>
      <w:type w:val="continuous"/>
      <w:pgSz w:w="11907" w:h="16840" w:code="9"/>
      <w:pgMar w:top="709" w:right="850" w:bottom="426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F7" w:rsidRDefault="00080BF7">
      <w:r>
        <w:separator/>
      </w:r>
    </w:p>
  </w:endnote>
  <w:endnote w:type="continuationSeparator" w:id="0">
    <w:p w:rsidR="00080BF7" w:rsidRDefault="0008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F7" w:rsidRDefault="00080BF7">
      <w:r>
        <w:separator/>
      </w:r>
    </w:p>
  </w:footnote>
  <w:footnote w:type="continuationSeparator" w:id="0">
    <w:p w:rsidR="00080BF7" w:rsidRDefault="0008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68" w:rsidRDefault="002138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22B15"/>
    <w:rsid w:val="000322A6"/>
    <w:rsid w:val="00037E41"/>
    <w:rsid w:val="0004322E"/>
    <w:rsid w:val="00055154"/>
    <w:rsid w:val="000603FD"/>
    <w:rsid w:val="0008044E"/>
    <w:rsid w:val="00080BF7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07E18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22CA"/>
    <w:rsid w:val="001A39D7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C4890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3668C"/>
    <w:rsid w:val="00345A6C"/>
    <w:rsid w:val="003622EA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B2C63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4F70"/>
    <w:rsid w:val="0050529E"/>
    <w:rsid w:val="0050571F"/>
    <w:rsid w:val="00507ADB"/>
    <w:rsid w:val="00512F97"/>
    <w:rsid w:val="00514428"/>
    <w:rsid w:val="005202A0"/>
    <w:rsid w:val="0052334C"/>
    <w:rsid w:val="00533E30"/>
    <w:rsid w:val="0054037C"/>
    <w:rsid w:val="00556998"/>
    <w:rsid w:val="005570D6"/>
    <w:rsid w:val="00571CD2"/>
    <w:rsid w:val="005749DA"/>
    <w:rsid w:val="00577476"/>
    <w:rsid w:val="00582780"/>
    <w:rsid w:val="00586A4C"/>
    <w:rsid w:val="00593D91"/>
    <w:rsid w:val="00594B6D"/>
    <w:rsid w:val="00594E0B"/>
    <w:rsid w:val="0059709B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3A76"/>
    <w:rsid w:val="005E57A5"/>
    <w:rsid w:val="005F5567"/>
    <w:rsid w:val="006158BF"/>
    <w:rsid w:val="00615A80"/>
    <w:rsid w:val="0062118F"/>
    <w:rsid w:val="00621CD7"/>
    <w:rsid w:val="006349A1"/>
    <w:rsid w:val="00643230"/>
    <w:rsid w:val="006438AE"/>
    <w:rsid w:val="006563DE"/>
    <w:rsid w:val="00657E1C"/>
    <w:rsid w:val="006607F7"/>
    <w:rsid w:val="006843D8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42D6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50DF0"/>
    <w:rsid w:val="00760FAF"/>
    <w:rsid w:val="00763B45"/>
    <w:rsid w:val="007646EF"/>
    <w:rsid w:val="00766676"/>
    <w:rsid w:val="00771253"/>
    <w:rsid w:val="00772DE7"/>
    <w:rsid w:val="007811C6"/>
    <w:rsid w:val="007845A7"/>
    <w:rsid w:val="007A06A1"/>
    <w:rsid w:val="007A5ADB"/>
    <w:rsid w:val="007C02C0"/>
    <w:rsid w:val="007E2E97"/>
    <w:rsid w:val="007E30AA"/>
    <w:rsid w:val="007F4B75"/>
    <w:rsid w:val="008038ED"/>
    <w:rsid w:val="00810842"/>
    <w:rsid w:val="008218C9"/>
    <w:rsid w:val="0082465C"/>
    <w:rsid w:val="00827C66"/>
    <w:rsid w:val="00831302"/>
    <w:rsid w:val="0083265B"/>
    <w:rsid w:val="008348F7"/>
    <w:rsid w:val="00834F2A"/>
    <w:rsid w:val="008378B7"/>
    <w:rsid w:val="00844F81"/>
    <w:rsid w:val="00855FF3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1104"/>
    <w:rsid w:val="008E3C8D"/>
    <w:rsid w:val="008E7BBD"/>
    <w:rsid w:val="008F6600"/>
    <w:rsid w:val="00901FF0"/>
    <w:rsid w:val="00903240"/>
    <w:rsid w:val="00910B6C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460A9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A6"/>
    <w:rsid w:val="00A333EB"/>
    <w:rsid w:val="00A3383C"/>
    <w:rsid w:val="00A433F9"/>
    <w:rsid w:val="00A43879"/>
    <w:rsid w:val="00A50633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A4F7C"/>
    <w:rsid w:val="00AB080E"/>
    <w:rsid w:val="00AB0CEC"/>
    <w:rsid w:val="00AB4163"/>
    <w:rsid w:val="00AB715A"/>
    <w:rsid w:val="00AC16CF"/>
    <w:rsid w:val="00AC52C4"/>
    <w:rsid w:val="00AD31BD"/>
    <w:rsid w:val="00AD4408"/>
    <w:rsid w:val="00AD724A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97464"/>
    <w:rsid w:val="00BA007B"/>
    <w:rsid w:val="00BA19CC"/>
    <w:rsid w:val="00BA7E2E"/>
    <w:rsid w:val="00BB0A9B"/>
    <w:rsid w:val="00BB3710"/>
    <w:rsid w:val="00BD677F"/>
    <w:rsid w:val="00BD6FF9"/>
    <w:rsid w:val="00BF097D"/>
    <w:rsid w:val="00BF1EBE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0978"/>
    <w:rsid w:val="00C730FE"/>
    <w:rsid w:val="00C877E1"/>
    <w:rsid w:val="00C9506B"/>
    <w:rsid w:val="00CA418E"/>
    <w:rsid w:val="00CA58AC"/>
    <w:rsid w:val="00CA72C6"/>
    <w:rsid w:val="00CA72E2"/>
    <w:rsid w:val="00CC5F20"/>
    <w:rsid w:val="00CD7916"/>
    <w:rsid w:val="00CE2EC1"/>
    <w:rsid w:val="00D02C3B"/>
    <w:rsid w:val="00D03358"/>
    <w:rsid w:val="00D03525"/>
    <w:rsid w:val="00D11407"/>
    <w:rsid w:val="00D14C1C"/>
    <w:rsid w:val="00D21E76"/>
    <w:rsid w:val="00D21F17"/>
    <w:rsid w:val="00D348D3"/>
    <w:rsid w:val="00D37616"/>
    <w:rsid w:val="00D41F97"/>
    <w:rsid w:val="00D50274"/>
    <w:rsid w:val="00D53C2A"/>
    <w:rsid w:val="00D54454"/>
    <w:rsid w:val="00D56B82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9243D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95DB4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04BF"/>
    <w:rsid w:val="00F11A91"/>
    <w:rsid w:val="00F11E42"/>
    <w:rsid w:val="00F16426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8602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F8F7CA-1453-47DE-94CD-C02879B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0">
    <w:name w:val="Emphasis"/>
    <w:basedOn w:val="a0"/>
    <w:uiPriority w:val="20"/>
    <w:qFormat/>
    <w:rsid w:val="00657E1C"/>
    <w:rPr>
      <w:i/>
      <w:iCs/>
    </w:rPr>
  </w:style>
  <w:style w:type="character" w:customStyle="1" w:styleId="af1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69C5-E473-4EF8-80C1-564AC965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exif_MSED_f46cca75b9bfc86598e07385c06edb9d853ca1579c73cfb5c5a7f87768a48150</dc:description>
  <cp:lastModifiedBy>Анастасия Александровна Саукова</cp:lastModifiedBy>
  <cp:revision>2</cp:revision>
  <cp:lastPrinted>2015-07-01T15:07:00Z</cp:lastPrinted>
  <dcterms:created xsi:type="dcterms:W3CDTF">2019-06-13T07:16:00Z</dcterms:created>
  <dcterms:modified xsi:type="dcterms:W3CDTF">2019-06-13T07:16:00Z</dcterms:modified>
</cp:coreProperties>
</file>