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pqbpot4zxg2t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pqbpot4zxg2t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pqbpot4zxg2t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26oohek9ck6m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14.02.2011 № 40-р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 создании рабочей группы по реализации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постановления Правительства Московской области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06.09.2010 № 733/40 «О мерах по переходу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на предоставление государственных услуг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электронном виде в Московской области»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соответствии с постановлением Правительства Московской области от 06.09.2010 № 733/40 «О мерах по переходу на предоставление государственных услуг в электронном виде в Московской области», а также в целях перехода администрации Павлово-Посадского муниципального района на предоставление муниципальных услуг в электронном виде: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 Создать рабочую группу по реализации постановления Правительства Московской области от 06.09.2010 № 733/40 «О мерах по переходу на предоставление государственных услуг в электронном виде в Московской области» в следующем составе: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Председатель рабочей группы: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Соковиков О.Б. – Первый заместитель Главы администрации района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Заместители председателя рабочей группы: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Седов С.В. – Первый заместитель Главы администрации района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Федоров А.В. – заместитель Главы администрации района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Секретарь рабочей группы: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Искоростинский А.А. - начальник управления по инвестиционной политике, рекламе и информатизации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Члены рабочей группы: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Елисеев А.Ф. – заместитель Главы администрации района – начальник управления архитектуры и капитального строительства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Конкин М.В. – заместитель Главы администрации района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Лопатин Г.Г.– заместитель Главы администрации района — председатель комитета земельно-имущественных отношений, управления собственностью и развитию АПК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Мишнин В.В. – заместитель Главы администрации района – председатель комитета по развитию ЖКХ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Сидоров А.В. – заместитель Главы администрации района – начальник управления по территориальной безопасности, гражданской обороне и чрезвычайным ситуациям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Королев И.И. – начальник управления делами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Краснов Н.М. – начальник управления культур, спорта и молодежной политики Матвеева Т.Д. - начальник организационно-правового управления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Мягченкова М.М. – главный врач МУЗ «Павлово-Посадская ЦРБ»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Некрасова О.И. – начальник управления образования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Туманов А.Л. – начальник управления муниципального заказа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Хорт И.М. – начальник финансового управления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Кориков А.Ю. – начальник отдела информатизации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Рабочей группе разработать и представить мне на утверждение: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2.1. План перехода на предоставление муниципальных услуг в электронном виде;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2.2. Административный регламент предоставления муниципальных услуг в электронном виде;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Контроль над выполнением настоящего Распоряжения оставляю за собой.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